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>
          <w:b/>
          <w:bCs/>
        </w:rPr>
        <w:t>Limma User Guide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https://bioconductor.org/packages/devel/bioc/vignettes/limma/inst/doc/usersguide.pdf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#Affy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https://academic.oup.com/bioinformatics/article/20/3/307/185980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ioconductor.org/packages/devel/bioc/vignettes/limma/inst/doc/usersguide.pdf" TargetMode="External"/><Relationship Id="rId3" Type="http://schemas.openxmlformats.org/officeDocument/2006/relationships/hyperlink" Target="https://academic.oup.com/bioinformatics/article/20/3/307/18598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6</Words>
  <Characters>167</Characters>
  <CharactersWithSpaces>169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2020-10-20T14:36:07Z</dcterms:created>
  <dc:creator/>
  <dc:description/>
  <dc:language>en-US</dc:language>
  <cp:lastModifiedBy/>
  <dcterms:modified xsi:type="dcterms:W3CDTF">2020-10-20T14:39:40Z</dcterms:modified>
  <cp:revision>2</cp:revision>
  <dc:subject/>
  <dc:title/>
</cp:coreProperties>
</file>