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Уведомление об автоматизированных сканированиях 26.07.2026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rHeight w:val="351"/>
        </w:trPr>
        <w:tc>
          <w:tcPr>
            <w:tcW w:type="dxa" w:w="1667"/>
          </w:tcPr>
          <w:p>
            <w:pPr>
              <w:jc w:val="center"/>
            </w:pPr>
            <w:r>
              <w:rPr>
                <w:b/>
              </w:rPr>
              <w:t>IP</w:t>
            </w:r>
          </w:p>
        </w:tc>
        <w:tc>
          <w:tcPr>
            <w:tcW w:type="dxa" w:w="7790"/>
          </w:tcPr>
          <w:p>
            <w:pPr>
              <w:jc w:val="center"/>
            </w:pPr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1667"/>
          </w:tcPr>
          <w:p>
            <w:pPr>
              <w:jc w:val="center"/>
            </w:pPr>
            <w:r>
              <w:t>103.72.1*62</w:t>
              <w:br/>
              <w:t>(Пакистан)</w:t>
            </w:r>
          </w:p>
        </w:tc>
        <w:tc>
          <w:tcPr>
            <w:tcW w:type="dxa" w:w="7790"/>
            <w:vMerge w:val="restart"/>
          </w:tcPr>
          <w:p>
            <w:r>
              <w:t xml:space="preserve">При проверке на TI платформах установлено, что IP-адреса были зафиксированы во вредоносной активности. </w:t>
              <w:br/>
              <w:t>По данным VirusTotal 15/91 TI вендоров отметили IP-адреса в своих отчётах:</w:t>
              <w:br/>
              <w:t>С классификацией "Suspicious":</w:t>
              <w:br/>
              <w:t xml:space="preserve">    - URLQuery</w:t>
              <w:br/>
              <w:t>С классификацией "Phishing":</w:t>
              <w:br/>
              <w:t xml:space="preserve">    - BitDefender</w:t>
              <w:br/>
              <w:t xml:space="preserve">    - G-Data</w:t>
              <w:br/>
              <w:t>С классификацией "Malicious":</w:t>
              <w:br/>
              <w:t xml:space="preserve">    - alphaMountain.ai</w:t>
              <w:br/>
              <w:t xml:space="preserve">    - Cluster25</w:t>
              <w:br/>
              <w:t xml:space="preserve">    - CRDF</w:t>
              <w:br/>
              <w:t xml:space="preserve">    - GreyNoise</w:t>
              <w:br/>
              <w:t xml:space="preserve">    - Lionic</w:t>
              <w:br/>
              <w:t xml:space="preserve">    - SOCRadar</w:t>
              <w:br/>
              <w:t xml:space="preserve">    - Webroot</w:t>
              <w:br/>
              <w:t>С классификацией "Malware":</w:t>
              <w:br/>
              <w:t xml:space="preserve">    - CyRadar</w:t>
              <w:br/>
              <w:t xml:space="preserve">    - Emsisoft</w:t>
              <w:br/>
              <w:t xml:space="preserve">    - Fortinet</w:t>
              <w:br/>
              <w:t xml:space="preserve">    - Kaspersky</w:t>
              <w:br/>
              <w:t xml:space="preserve">    - VIPRE</w:t>
              <w:br/>
              <w:t>По отчётам пользователей на AbuseIPDB за последние 16 дней представлены в категориях: Port Scan, Hacking, Exploited Host</w:t>
            </w:r>
          </w:p>
        </w:tc>
      </w:tr>
      <w:tr>
        <w:tc>
          <w:tcPr>
            <w:tcW w:type="dxa" w:w="1667"/>
          </w:tcPr>
          <w:p>
            <w:pPr>
              <w:jc w:val="center"/>
            </w:pPr>
            <w:r>
              <w:t>112.239.122*181</w:t>
              <w:br/>
              <w:t>(Китай)</w:t>
            </w:r>
          </w:p>
        </w:tc>
        <w:tc>
          <w:tcPr>
            <w:tcW w:type="dxa" w:w="7790"/>
            <w:vMerge/>
          </w:tcPr>
          <w:p/>
        </w:tc>
      </w:tr>
      <w:tr>
        <w:tc>
          <w:tcPr>
            <w:tcW w:type="dxa" w:w="1667"/>
          </w:tcPr>
          <w:p>
            <w:pPr>
              <w:jc w:val="center"/>
            </w:pPr>
            <w:r>
              <w:t>45.152.67*20</w:t>
              <w:br/>
              <w:t>(Гонконг)</w:t>
            </w:r>
          </w:p>
        </w:tc>
        <w:tc>
          <w:tcPr>
            <w:tcW w:type="dxa" w:w="7790"/>
            <w:vMerge/>
          </w:tcPr>
          <w:p/>
        </w:tc>
      </w:tr>
      <w:tr>
        <w:tc>
          <w:tcPr>
            <w:tcW w:type="dxa" w:w="1667"/>
          </w:tcPr>
          <w:p>
            <w:pPr>
              <w:jc w:val="center"/>
            </w:pPr>
            <w:r>
              <w:t>27.206.79*184</w:t>
              <w:br/>
              <w:t>(Китай)</w:t>
            </w:r>
          </w:p>
        </w:tc>
        <w:tc>
          <w:tcPr>
            <w:tcW w:type="dxa" w:w="7790"/>
            <w:vMerge/>
          </w:tcPr>
          <w:p/>
        </w:tc>
      </w:tr>
      <w:tr>
        <w:tc>
          <w:tcPr>
            <w:tcW w:type="dxa" w:w="1667"/>
          </w:tcPr>
          <w:p>
            <w:pPr>
              <w:jc w:val="center"/>
            </w:pPr>
            <w:r>
              <w:t>188.166.201*103</w:t>
              <w:br/>
              <w:t>(Нидерланды)</w:t>
            </w:r>
          </w:p>
        </w:tc>
        <w:tc>
          <w:tcPr>
            <w:tcW w:type="dxa" w:w="7790"/>
            <w:vMerge/>
          </w:tcPr>
          <w:p/>
        </w:tc>
      </w:tr>
      <w:tr>
        <w:tc>
          <w:tcPr>
            <w:tcW w:type="dxa" w:w="1667"/>
          </w:tcPr>
          <w:p>
            <w:pPr>
              <w:jc w:val="center"/>
            </w:pPr>
            <w:r>
              <w:t>111.178.165*161</w:t>
              <w:br/>
              <w:t>(Китай)</w:t>
            </w:r>
          </w:p>
        </w:tc>
        <w:tc>
          <w:tcPr>
            <w:tcW w:type="dxa" w:w="7790"/>
            <w:vMerge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