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33333"/>
          <w:sz w:val="42"/>
          <w:szCs w:val="42"/>
        </w:rPr>
      </w:pPr>
      <w:r w:rsidDel="00000000" w:rsidR="00000000" w:rsidRPr="00000000">
        <w:rPr>
          <w:rtl w:val="0"/>
        </w:rPr>
        <w:t xml:space="preserve">Hélio Ferreira 05-05-2024</w:t>
        <w:br w:type="textWrapping"/>
        <w:br w:type="textWrapping"/>
      </w:r>
      <w:commentRangeStart w:id="0"/>
      <w:r w:rsidDel="00000000" w:rsidR="00000000" w:rsidRPr="00000000">
        <w:rPr>
          <w:b w:val="1"/>
          <w:color w:val="333333"/>
          <w:sz w:val="42"/>
          <w:szCs w:val="42"/>
          <w:rtl w:val="0"/>
        </w:rPr>
        <w:t xml:space="preserve">Lab: Cloud Security Principles and Frameworks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color w:val="666666"/>
          <w:sz w:val="27"/>
          <w:szCs w:val="27"/>
        </w:rPr>
      </w:pPr>
      <w:r w:rsidDel="00000000" w:rsidR="00000000" w:rsidRPr="00000000">
        <w:rPr>
          <w:rtl w:val="0"/>
        </w:rPr>
        <w:br w:type="textWrapping"/>
      </w:r>
      <w:r w:rsidDel="00000000" w:rsidR="00000000" w:rsidRPr="00000000">
        <w:rPr>
          <w:b w:val="1"/>
          <w:color w:val="666666"/>
          <w:sz w:val="27"/>
          <w:szCs w:val="27"/>
          <w:rtl w:val="0"/>
        </w:rPr>
        <w:t xml:space="preserve">Part 1: Cloud Provider Research</w:t>
      </w:r>
    </w:p>
    <w:p w:rsidR="00000000" w:rsidDel="00000000" w:rsidP="00000000" w:rsidRDefault="00000000" w:rsidRPr="00000000" w14:paraId="00000003">
      <w:pPr>
        <w:spacing w:after="240" w:before="240" w:lineRule="auto"/>
        <w:rPr>
          <w:b w:val="1"/>
          <w:color w:val="2b2b2b"/>
          <w:sz w:val="21"/>
          <w:szCs w:val="21"/>
        </w:rPr>
      </w:pPr>
      <w:r w:rsidDel="00000000" w:rsidR="00000000" w:rsidRPr="00000000">
        <w:rPr>
          <w:b w:val="1"/>
          <w:color w:val="2b2b2b"/>
          <w:sz w:val="21"/>
          <w:szCs w:val="21"/>
          <w:rtl w:val="0"/>
        </w:rPr>
        <w:t xml:space="preserve">Sources:</w:t>
      </w:r>
    </w:p>
    <w:p w:rsidR="00000000" w:rsidDel="00000000" w:rsidP="00000000" w:rsidRDefault="00000000" w:rsidRPr="00000000" w14:paraId="00000004">
      <w:pPr>
        <w:numPr>
          <w:ilvl w:val="0"/>
          <w:numId w:val="4"/>
        </w:numPr>
        <w:spacing w:after="0" w:afterAutospacing="0" w:before="240" w:lineRule="auto"/>
        <w:ind w:left="720" w:hanging="360"/>
        <w:rPr>
          <w:color w:val="2b2b2b"/>
          <w:sz w:val="21"/>
          <w:szCs w:val="21"/>
        </w:rPr>
      </w:pPr>
      <w:r w:rsidDel="00000000" w:rsidR="00000000" w:rsidRPr="00000000">
        <w:rPr>
          <w:color w:val="2b2b2b"/>
          <w:sz w:val="21"/>
          <w:szCs w:val="21"/>
          <w:rtl w:val="0"/>
        </w:rPr>
        <w:t xml:space="preserve">AWS Artifact Portal:</w:t>
      </w:r>
      <w:hyperlink r:id="rId7">
        <w:r w:rsidDel="00000000" w:rsidR="00000000" w:rsidRPr="00000000">
          <w:rPr>
            <w:color w:val="2b2b2b"/>
            <w:sz w:val="21"/>
            <w:szCs w:val="21"/>
            <w:rtl w:val="0"/>
          </w:rPr>
          <w:t xml:space="preserve"> </w:t>
        </w:r>
      </w:hyperlink>
      <w:hyperlink r:id="rId8">
        <w:r w:rsidDel="00000000" w:rsidR="00000000" w:rsidRPr="00000000">
          <w:rPr>
            <w:color w:val="1155cc"/>
            <w:sz w:val="21"/>
            <w:szCs w:val="21"/>
            <w:u w:val="single"/>
            <w:rtl w:val="0"/>
          </w:rPr>
          <w:t xml:space="preserve">https://aws.amazon.com/compliance/</w:t>
        </w:r>
      </w:hyperlink>
      <w:r w:rsidDel="00000000" w:rsidR="00000000" w:rsidRPr="00000000">
        <w:rPr>
          <w:rtl w:val="0"/>
        </w:rPr>
      </w:r>
    </w:p>
    <w:p w:rsidR="00000000" w:rsidDel="00000000" w:rsidP="00000000" w:rsidRDefault="00000000" w:rsidRPr="00000000" w14:paraId="00000005">
      <w:pPr>
        <w:numPr>
          <w:ilvl w:val="0"/>
          <w:numId w:val="4"/>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Azure Compliance Documentation:</w:t>
      </w:r>
      <w:hyperlink r:id="rId9">
        <w:r w:rsidDel="00000000" w:rsidR="00000000" w:rsidRPr="00000000">
          <w:rPr>
            <w:color w:val="2b2b2b"/>
            <w:sz w:val="21"/>
            <w:szCs w:val="21"/>
            <w:rtl w:val="0"/>
          </w:rPr>
          <w:t xml:space="preserve"> </w:t>
        </w:r>
      </w:hyperlink>
      <w:hyperlink r:id="rId10">
        <w:r w:rsidDel="00000000" w:rsidR="00000000" w:rsidRPr="00000000">
          <w:rPr>
            <w:color w:val="1155cc"/>
            <w:sz w:val="21"/>
            <w:szCs w:val="21"/>
            <w:u w:val="single"/>
            <w:rtl w:val="0"/>
          </w:rPr>
          <w:t xml:space="preserve">https://www.microsoft.com/en-us/trust-center/compliance/compliance-overview</w:t>
        </w:r>
      </w:hyperlink>
      <w:r w:rsidDel="00000000" w:rsidR="00000000" w:rsidRPr="00000000">
        <w:rPr>
          <w:rtl w:val="0"/>
        </w:rPr>
      </w:r>
    </w:p>
    <w:p w:rsidR="00000000" w:rsidDel="00000000" w:rsidP="00000000" w:rsidRDefault="00000000" w:rsidRPr="00000000" w14:paraId="00000006">
      <w:pPr>
        <w:numPr>
          <w:ilvl w:val="0"/>
          <w:numId w:val="4"/>
        </w:numPr>
        <w:spacing w:after="240" w:before="0" w:beforeAutospacing="0" w:lineRule="auto"/>
        <w:ind w:left="720" w:hanging="360"/>
        <w:rPr>
          <w:color w:val="2b2b2b"/>
          <w:sz w:val="21"/>
          <w:szCs w:val="21"/>
        </w:rPr>
      </w:pPr>
      <w:r w:rsidDel="00000000" w:rsidR="00000000" w:rsidRPr="00000000">
        <w:rPr>
          <w:color w:val="2b2b2b"/>
          <w:sz w:val="21"/>
          <w:szCs w:val="21"/>
          <w:rtl w:val="0"/>
        </w:rPr>
        <w:t xml:space="preserve">GCP Compliance Resource Center:</w:t>
      </w:r>
      <w:hyperlink r:id="rId11">
        <w:r w:rsidDel="00000000" w:rsidR="00000000" w:rsidRPr="00000000">
          <w:rPr>
            <w:color w:val="2b2b2b"/>
            <w:sz w:val="21"/>
            <w:szCs w:val="21"/>
            <w:rtl w:val="0"/>
          </w:rPr>
          <w:t xml:space="preserve"> </w:t>
        </w:r>
      </w:hyperlink>
      <w:hyperlink r:id="rId12">
        <w:r w:rsidDel="00000000" w:rsidR="00000000" w:rsidRPr="00000000">
          <w:rPr>
            <w:color w:val="1155cc"/>
            <w:sz w:val="21"/>
            <w:szCs w:val="21"/>
            <w:u w:val="single"/>
            <w:rtl w:val="0"/>
          </w:rPr>
          <w:t xml:space="preserve">https://cloud.google.com/compliance</w:t>
        </w:r>
      </w:hyperlink>
      <w:r w:rsidDel="00000000" w:rsidR="00000000" w:rsidRPr="00000000">
        <w:rPr>
          <w:rtl w:val="0"/>
        </w:rPr>
      </w:r>
    </w:p>
    <w:p w:rsidR="00000000" w:rsidDel="00000000" w:rsidP="00000000" w:rsidRDefault="00000000" w:rsidRPr="00000000" w14:paraId="00000007">
      <w:pPr>
        <w:spacing w:after="240" w:before="240" w:lineRule="auto"/>
        <w:rPr>
          <w:b w:val="1"/>
          <w:color w:val="2b2b2b"/>
          <w:sz w:val="21"/>
          <w:szCs w:val="21"/>
        </w:rPr>
      </w:pPr>
      <w:r w:rsidDel="00000000" w:rsidR="00000000" w:rsidRPr="00000000">
        <w:rPr>
          <w:b w:val="1"/>
          <w:color w:val="2b2b2b"/>
          <w:sz w:val="21"/>
          <w:szCs w:val="21"/>
          <w:rtl w:val="0"/>
        </w:rPr>
        <w:t xml:space="preserve">Findings:</w:t>
      </w:r>
    </w:p>
    <w:p w:rsidR="00000000" w:rsidDel="00000000" w:rsidP="00000000" w:rsidRDefault="00000000" w:rsidRPr="00000000" w14:paraId="00000008">
      <w:pPr>
        <w:spacing w:after="240" w:before="240" w:lineRule="auto"/>
        <w:rPr>
          <w:color w:val="2b2b2b"/>
          <w:sz w:val="21"/>
          <w:szCs w:val="21"/>
        </w:rPr>
      </w:pPr>
      <w:r w:rsidDel="00000000" w:rsidR="00000000" w:rsidRPr="00000000">
        <w:rPr>
          <w:color w:val="2b2b2b"/>
          <w:sz w:val="21"/>
          <w:szCs w:val="21"/>
          <w:rtl w:val="0"/>
        </w:rPr>
        <w:t xml:space="preserve">All three cloud providers, AWS, Azure, and GCP, offer SOC 2 compliance for their cloud services. Here's a breakdown of their specific offerings:</w:t>
      </w:r>
    </w:p>
    <w:p w:rsidR="00000000" w:rsidDel="00000000" w:rsidP="00000000" w:rsidRDefault="00000000" w:rsidRPr="00000000" w14:paraId="00000009">
      <w:pPr>
        <w:spacing w:after="240" w:before="240" w:lineRule="auto"/>
        <w:rPr>
          <w:b w:val="1"/>
          <w:color w:val="2b2b2b"/>
          <w:sz w:val="21"/>
          <w:szCs w:val="21"/>
        </w:rPr>
      </w:pPr>
      <w:r w:rsidDel="00000000" w:rsidR="00000000" w:rsidRPr="00000000">
        <w:rPr>
          <w:b w:val="1"/>
          <w:color w:val="2b2b2b"/>
          <w:sz w:val="21"/>
          <w:szCs w:val="21"/>
          <w:rtl w:val="0"/>
        </w:rPr>
        <w:t xml:space="preserve">1. AWS</w:t>
      </w:r>
    </w:p>
    <w:p w:rsidR="00000000" w:rsidDel="00000000" w:rsidP="00000000" w:rsidRDefault="00000000" w:rsidRPr="00000000" w14:paraId="0000000A">
      <w:pPr>
        <w:numPr>
          <w:ilvl w:val="0"/>
          <w:numId w:val="7"/>
        </w:numPr>
        <w:spacing w:after="0" w:afterAutospacing="0" w:before="240" w:lineRule="auto"/>
        <w:ind w:left="720" w:hanging="360"/>
        <w:rPr>
          <w:color w:val="2b2b2b"/>
          <w:sz w:val="21"/>
          <w:szCs w:val="21"/>
        </w:rPr>
      </w:pPr>
      <w:r w:rsidDel="00000000" w:rsidR="00000000" w:rsidRPr="00000000">
        <w:rPr>
          <w:color w:val="2b2b2b"/>
          <w:sz w:val="21"/>
          <w:szCs w:val="21"/>
          <w:rtl w:val="0"/>
        </w:rPr>
        <w:t xml:space="preserve">AWS offers SOC 2 reports covering various trust service principles, including Security, Availability, Confidentiality, Privacy, and Processing Integrity.</w:t>
      </w:r>
    </w:p>
    <w:p w:rsidR="00000000" w:rsidDel="00000000" w:rsidP="00000000" w:rsidRDefault="00000000" w:rsidRPr="00000000" w14:paraId="0000000B">
      <w:pPr>
        <w:numPr>
          <w:ilvl w:val="0"/>
          <w:numId w:val="7"/>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You can access these reports through the AWS Artifact portal:</w:t>
      </w:r>
      <w:hyperlink r:id="rId13">
        <w:r w:rsidDel="00000000" w:rsidR="00000000" w:rsidRPr="00000000">
          <w:rPr>
            <w:color w:val="2b2b2b"/>
            <w:sz w:val="21"/>
            <w:szCs w:val="21"/>
            <w:rtl w:val="0"/>
          </w:rPr>
          <w:t xml:space="preserve"> </w:t>
        </w:r>
      </w:hyperlink>
      <w:hyperlink r:id="rId14">
        <w:r w:rsidDel="00000000" w:rsidR="00000000" w:rsidRPr="00000000">
          <w:rPr>
            <w:color w:val="1155cc"/>
            <w:sz w:val="21"/>
            <w:szCs w:val="21"/>
            <w:u w:val="single"/>
            <w:rtl w:val="0"/>
          </w:rPr>
          <w:t xml:space="preserve">https://aws.amazon.com/compliance/</w:t>
        </w:r>
      </w:hyperlink>
      <w:r w:rsidDel="00000000" w:rsidR="00000000" w:rsidRPr="00000000">
        <w:rPr>
          <w:rtl w:val="0"/>
        </w:rPr>
      </w:r>
    </w:p>
    <w:p w:rsidR="00000000" w:rsidDel="00000000" w:rsidP="00000000" w:rsidRDefault="00000000" w:rsidRPr="00000000" w14:paraId="0000000C">
      <w:pPr>
        <w:numPr>
          <w:ilvl w:val="0"/>
          <w:numId w:val="7"/>
        </w:numPr>
        <w:spacing w:after="240" w:before="0" w:beforeAutospacing="0" w:lineRule="auto"/>
        <w:ind w:left="720" w:hanging="360"/>
        <w:rPr>
          <w:color w:val="2b2b2b"/>
          <w:sz w:val="21"/>
          <w:szCs w:val="21"/>
        </w:rPr>
      </w:pPr>
      <w:r w:rsidDel="00000000" w:rsidR="00000000" w:rsidRPr="00000000">
        <w:rPr>
          <w:color w:val="2b2b2b"/>
          <w:sz w:val="21"/>
          <w:szCs w:val="21"/>
          <w:rtl w:val="0"/>
        </w:rPr>
        <w:t xml:space="preserve">The specific controls and services covered within each SOC 2 report may vary. Initrobe can utilize the AWS Artifact portal to find reports relevant to their specific needs (e.g., SOC 2 for Amazon S3 or EC2).</w:t>
      </w:r>
    </w:p>
    <w:p w:rsidR="00000000" w:rsidDel="00000000" w:rsidP="00000000" w:rsidRDefault="00000000" w:rsidRPr="00000000" w14:paraId="0000000D">
      <w:pPr>
        <w:spacing w:after="240" w:before="240" w:lineRule="auto"/>
        <w:rPr>
          <w:b w:val="1"/>
          <w:color w:val="2b2b2b"/>
          <w:sz w:val="21"/>
          <w:szCs w:val="21"/>
        </w:rPr>
      </w:pPr>
      <w:r w:rsidDel="00000000" w:rsidR="00000000" w:rsidRPr="00000000">
        <w:rPr>
          <w:b w:val="1"/>
          <w:color w:val="2b2b2b"/>
          <w:sz w:val="21"/>
          <w:szCs w:val="21"/>
          <w:rtl w:val="0"/>
        </w:rPr>
        <w:t xml:space="preserve">2. Azure</w:t>
      </w:r>
    </w:p>
    <w:p w:rsidR="00000000" w:rsidDel="00000000" w:rsidP="00000000" w:rsidRDefault="00000000" w:rsidRPr="00000000" w14:paraId="0000000E">
      <w:pPr>
        <w:numPr>
          <w:ilvl w:val="0"/>
          <w:numId w:val="3"/>
        </w:numPr>
        <w:spacing w:after="0" w:afterAutospacing="0" w:before="240" w:lineRule="auto"/>
        <w:ind w:left="720" w:hanging="360"/>
        <w:rPr>
          <w:color w:val="2b2b2b"/>
          <w:sz w:val="21"/>
          <w:szCs w:val="21"/>
        </w:rPr>
      </w:pPr>
      <w:r w:rsidDel="00000000" w:rsidR="00000000" w:rsidRPr="00000000">
        <w:rPr>
          <w:color w:val="2b2b2b"/>
          <w:sz w:val="21"/>
          <w:szCs w:val="21"/>
          <w:rtl w:val="0"/>
        </w:rPr>
        <w:t xml:space="preserve">Microsoft Azure offers SOC 2 reports that cover Security, Availability, Confidentiality, Processing Integrity, and Privacy.</w:t>
      </w:r>
    </w:p>
    <w:p w:rsidR="00000000" w:rsidDel="00000000" w:rsidP="00000000" w:rsidRDefault="00000000" w:rsidRPr="00000000" w14:paraId="0000000F">
      <w:pPr>
        <w:numPr>
          <w:ilvl w:val="0"/>
          <w:numId w:val="3"/>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You can find details on Azure's SOC 2 compliance program on the Azure Compliance Documentation website:</w:t>
      </w:r>
      <w:hyperlink r:id="rId15">
        <w:r w:rsidDel="00000000" w:rsidR="00000000" w:rsidRPr="00000000">
          <w:rPr>
            <w:color w:val="2b2b2b"/>
            <w:sz w:val="21"/>
            <w:szCs w:val="21"/>
            <w:rtl w:val="0"/>
          </w:rPr>
          <w:t xml:space="preserve"> </w:t>
        </w:r>
      </w:hyperlink>
      <w:hyperlink r:id="rId16">
        <w:r w:rsidDel="00000000" w:rsidR="00000000" w:rsidRPr="00000000">
          <w:rPr>
            <w:color w:val="1155cc"/>
            <w:sz w:val="21"/>
            <w:szCs w:val="21"/>
            <w:u w:val="single"/>
            <w:rtl w:val="0"/>
          </w:rPr>
          <w:t xml:space="preserve">https://www.microsoft.com/en-us/trust-center/compliance/compliance-overview</w:t>
        </w:r>
      </w:hyperlink>
      <w:r w:rsidDel="00000000" w:rsidR="00000000" w:rsidRPr="00000000">
        <w:rPr>
          <w:rtl w:val="0"/>
        </w:rPr>
      </w:r>
    </w:p>
    <w:p w:rsidR="00000000" w:rsidDel="00000000" w:rsidP="00000000" w:rsidRDefault="00000000" w:rsidRPr="00000000" w14:paraId="00000010">
      <w:pPr>
        <w:numPr>
          <w:ilvl w:val="0"/>
          <w:numId w:val="3"/>
        </w:numPr>
        <w:spacing w:after="240" w:before="0" w:beforeAutospacing="0" w:lineRule="auto"/>
        <w:ind w:left="720" w:hanging="360"/>
        <w:rPr>
          <w:color w:val="2b2b2b"/>
          <w:sz w:val="21"/>
          <w:szCs w:val="21"/>
        </w:rPr>
      </w:pPr>
      <w:r w:rsidDel="00000000" w:rsidR="00000000" w:rsidRPr="00000000">
        <w:rPr>
          <w:color w:val="2b2b2b"/>
          <w:sz w:val="21"/>
          <w:szCs w:val="21"/>
          <w:rtl w:val="0"/>
        </w:rPr>
        <w:t xml:space="preserve">Similar to AWS, Azure may offer various SOC 2 reports focused on specific services or regions. Initrobe should consult the Azure documentation to identify reports most relevant to their needs.</w:t>
      </w:r>
    </w:p>
    <w:p w:rsidR="00000000" w:rsidDel="00000000" w:rsidP="00000000" w:rsidRDefault="00000000" w:rsidRPr="00000000" w14:paraId="00000011">
      <w:pPr>
        <w:spacing w:after="240" w:before="240" w:lineRule="auto"/>
        <w:rPr>
          <w:b w:val="1"/>
          <w:color w:val="2b2b2b"/>
          <w:sz w:val="21"/>
          <w:szCs w:val="21"/>
        </w:rPr>
      </w:pPr>
      <w:r w:rsidDel="00000000" w:rsidR="00000000" w:rsidRPr="00000000">
        <w:rPr>
          <w:b w:val="1"/>
          <w:color w:val="2b2b2b"/>
          <w:sz w:val="21"/>
          <w:szCs w:val="21"/>
          <w:rtl w:val="0"/>
        </w:rPr>
        <w:t xml:space="preserve">3. GCP</w:t>
      </w:r>
    </w:p>
    <w:p w:rsidR="00000000" w:rsidDel="00000000" w:rsidP="00000000" w:rsidRDefault="00000000" w:rsidRPr="00000000" w14:paraId="00000012">
      <w:pPr>
        <w:numPr>
          <w:ilvl w:val="0"/>
          <w:numId w:val="10"/>
        </w:numPr>
        <w:spacing w:after="0" w:afterAutospacing="0" w:before="240" w:lineRule="auto"/>
        <w:ind w:left="720" w:hanging="360"/>
        <w:rPr>
          <w:color w:val="2b2b2b"/>
          <w:sz w:val="21"/>
          <w:szCs w:val="21"/>
        </w:rPr>
      </w:pPr>
      <w:r w:rsidDel="00000000" w:rsidR="00000000" w:rsidRPr="00000000">
        <w:rPr>
          <w:color w:val="2b2b2b"/>
          <w:sz w:val="21"/>
          <w:szCs w:val="21"/>
          <w:rtl w:val="0"/>
        </w:rPr>
        <w:t xml:space="preserve">Google Cloud Platform (GCP) offers SOC 2 reports that cover Security, Availability, Confidentiality, Processing Integrity, and Privacy.</w:t>
      </w:r>
    </w:p>
    <w:p w:rsidR="00000000" w:rsidDel="00000000" w:rsidP="00000000" w:rsidRDefault="00000000" w:rsidRPr="00000000" w14:paraId="00000013">
      <w:pPr>
        <w:numPr>
          <w:ilvl w:val="0"/>
          <w:numId w:val="10"/>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Details on GCP's SOC 2 compliance program can be found on the GCP Compliance Resource Center:</w:t>
      </w:r>
      <w:hyperlink r:id="rId17">
        <w:r w:rsidDel="00000000" w:rsidR="00000000" w:rsidRPr="00000000">
          <w:rPr>
            <w:color w:val="2b2b2b"/>
            <w:sz w:val="21"/>
            <w:szCs w:val="21"/>
            <w:rtl w:val="0"/>
          </w:rPr>
          <w:t xml:space="preserve"> </w:t>
        </w:r>
      </w:hyperlink>
      <w:hyperlink r:id="rId18">
        <w:r w:rsidDel="00000000" w:rsidR="00000000" w:rsidRPr="00000000">
          <w:rPr>
            <w:color w:val="1155cc"/>
            <w:sz w:val="21"/>
            <w:szCs w:val="21"/>
            <w:u w:val="single"/>
            <w:rtl w:val="0"/>
          </w:rPr>
          <w:t xml:space="preserve">https://cloud.google.com/compliance</w:t>
        </w:r>
      </w:hyperlink>
      <w:r w:rsidDel="00000000" w:rsidR="00000000" w:rsidRPr="00000000">
        <w:rPr>
          <w:rtl w:val="0"/>
        </w:rPr>
      </w:r>
    </w:p>
    <w:p w:rsidR="00000000" w:rsidDel="00000000" w:rsidP="00000000" w:rsidRDefault="00000000" w:rsidRPr="00000000" w14:paraId="00000014">
      <w:pPr>
        <w:numPr>
          <w:ilvl w:val="0"/>
          <w:numId w:val="10"/>
        </w:numPr>
        <w:spacing w:after="240" w:before="0" w:beforeAutospacing="0" w:lineRule="auto"/>
        <w:ind w:left="720" w:hanging="360"/>
        <w:rPr>
          <w:color w:val="2b2b2b"/>
          <w:sz w:val="21"/>
          <w:szCs w:val="21"/>
        </w:rPr>
      </w:pPr>
      <w:r w:rsidDel="00000000" w:rsidR="00000000" w:rsidRPr="00000000">
        <w:rPr>
          <w:color w:val="2b2b2b"/>
          <w:sz w:val="21"/>
          <w:szCs w:val="21"/>
          <w:rtl w:val="0"/>
        </w:rPr>
        <w:t xml:space="preserve">Like the other providers, GCP may offer various SOC 2 reports tailored to specific services or regions. Initrobe should consult the GCP documentation for the most relevant reports.</w:t>
      </w:r>
    </w:p>
    <w:p w:rsidR="00000000" w:rsidDel="00000000" w:rsidP="00000000" w:rsidRDefault="00000000" w:rsidRPr="00000000" w14:paraId="00000015">
      <w:pPr>
        <w:spacing w:after="240" w:before="240" w:lineRule="auto"/>
        <w:rPr>
          <w:b w:val="1"/>
          <w:color w:val="2b2b2b"/>
          <w:sz w:val="21"/>
          <w:szCs w:val="21"/>
        </w:rPr>
      </w:pPr>
      <w:r w:rsidDel="00000000" w:rsidR="00000000" w:rsidRPr="00000000">
        <w:rPr>
          <w:b w:val="1"/>
          <w:color w:val="2b2b2b"/>
          <w:sz w:val="21"/>
          <w:szCs w:val="21"/>
          <w:rtl w:val="0"/>
        </w:rPr>
        <w:t xml:space="preserve">Additional Considerations:</w:t>
      </w:r>
    </w:p>
    <w:p w:rsidR="00000000" w:rsidDel="00000000" w:rsidP="00000000" w:rsidRDefault="00000000" w:rsidRPr="00000000" w14:paraId="00000016">
      <w:pPr>
        <w:numPr>
          <w:ilvl w:val="0"/>
          <w:numId w:val="9"/>
        </w:numPr>
        <w:spacing w:after="0" w:afterAutospacing="0" w:before="240" w:lineRule="auto"/>
        <w:ind w:left="720" w:hanging="360"/>
        <w:rPr>
          <w:color w:val="2b2b2b"/>
          <w:sz w:val="21"/>
          <w:szCs w:val="21"/>
        </w:rPr>
      </w:pPr>
      <w:r w:rsidDel="00000000" w:rsidR="00000000" w:rsidRPr="00000000">
        <w:rPr>
          <w:color w:val="2b2b2b"/>
          <w:sz w:val="21"/>
          <w:szCs w:val="21"/>
          <w:rtl w:val="0"/>
        </w:rPr>
        <w:t xml:space="preserve">While all three providers offer SOC 2 compliance, Initrobe may have specific requirements beyond the basic SOC 2 Trust Service Principles. It's advisable to consult the detailed SOC 2 reports offered by each provider to ensure alignment with Initrobe's security needs.</w:t>
      </w:r>
    </w:p>
    <w:p w:rsidR="00000000" w:rsidDel="00000000" w:rsidP="00000000" w:rsidRDefault="00000000" w:rsidRPr="00000000" w14:paraId="00000017">
      <w:pPr>
        <w:numPr>
          <w:ilvl w:val="0"/>
          <w:numId w:val="9"/>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Other factors to consider beyond SOC 2 compliance may include:</w:t>
      </w:r>
    </w:p>
    <w:p w:rsidR="00000000" w:rsidDel="00000000" w:rsidP="00000000" w:rsidRDefault="00000000" w:rsidRPr="00000000" w14:paraId="00000018">
      <w:pPr>
        <w:numPr>
          <w:ilvl w:val="1"/>
          <w:numId w:val="9"/>
        </w:numPr>
        <w:spacing w:after="0" w:afterAutospacing="0" w:before="0" w:beforeAutospacing="0" w:lineRule="auto"/>
        <w:ind w:left="1440" w:hanging="360"/>
        <w:rPr>
          <w:color w:val="2b2b2b"/>
          <w:sz w:val="21"/>
          <w:szCs w:val="21"/>
        </w:rPr>
      </w:pPr>
      <w:r w:rsidDel="00000000" w:rsidR="00000000" w:rsidRPr="00000000">
        <w:rPr>
          <w:b w:val="1"/>
          <w:color w:val="2b2b2b"/>
          <w:sz w:val="21"/>
          <w:szCs w:val="21"/>
          <w:rtl w:val="0"/>
        </w:rPr>
        <w:t xml:space="preserve">Pricing:</w:t>
      </w:r>
      <w:r w:rsidDel="00000000" w:rsidR="00000000" w:rsidRPr="00000000">
        <w:rPr>
          <w:color w:val="2b2b2b"/>
          <w:sz w:val="21"/>
          <w:szCs w:val="21"/>
          <w:rtl w:val="0"/>
        </w:rPr>
        <w:t xml:space="preserve"> Compare pricing structures and service tiers offered by each provider.</w:t>
      </w:r>
    </w:p>
    <w:p w:rsidR="00000000" w:rsidDel="00000000" w:rsidP="00000000" w:rsidRDefault="00000000" w:rsidRPr="00000000" w14:paraId="00000019">
      <w:pPr>
        <w:numPr>
          <w:ilvl w:val="1"/>
          <w:numId w:val="9"/>
        </w:numPr>
        <w:spacing w:after="0" w:afterAutospacing="0" w:before="0" w:beforeAutospacing="0" w:lineRule="auto"/>
        <w:ind w:left="1440" w:hanging="360"/>
        <w:rPr>
          <w:color w:val="2b2b2b"/>
          <w:sz w:val="21"/>
          <w:szCs w:val="21"/>
        </w:rPr>
      </w:pPr>
      <w:r w:rsidDel="00000000" w:rsidR="00000000" w:rsidRPr="00000000">
        <w:rPr>
          <w:b w:val="1"/>
          <w:color w:val="2b2b2b"/>
          <w:sz w:val="21"/>
          <w:szCs w:val="21"/>
          <w:rtl w:val="0"/>
        </w:rPr>
        <w:t xml:space="preserve">Scalability:</w:t>
      </w:r>
      <w:r w:rsidDel="00000000" w:rsidR="00000000" w:rsidRPr="00000000">
        <w:rPr>
          <w:color w:val="2b2b2b"/>
          <w:sz w:val="21"/>
          <w:szCs w:val="21"/>
          <w:rtl w:val="0"/>
        </w:rPr>
        <w:t xml:space="preserve"> Evaluate the cloud provider's ability to scale to accommodate Initrobe's future growth.</w:t>
      </w:r>
    </w:p>
    <w:p w:rsidR="00000000" w:rsidDel="00000000" w:rsidP="00000000" w:rsidRDefault="00000000" w:rsidRPr="00000000" w14:paraId="0000001A">
      <w:pPr>
        <w:numPr>
          <w:ilvl w:val="1"/>
          <w:numId w:val="9"/>
        </w:numPr>
        <w:spacing w:after="240" w:before="0" w:beforeAutospacing="0" w:lineRule="auto"/>
        <w:ind w:left="1440" w:hanging="360"/>
        <w:rPr>
          <w:color w:val="2b2b2b"/>
          <w:sz w:val="21"/>
          <w:szCs w:val="21"/>
        </w:rPr>
      </w:pPr>
      <w:r w:rsidDel="00000000" w:rsidR="00000000" w:rsidRPr="00000000">
        <w:rPr>
          <w:b w:val="1"/>
          <w:color w:val="2b2b2b"/>
          <w:sz w:val="21"/>
          <w:szCs w:val="21"/>
          <w:rtl w:val="0"/>
        </w:rPr>
        <w:t xml:space="preserve">Specific Features and Services:</w:t>
      </w:r>
      <w:r w:rsidDel="00000000" w:rsidR="00000000" w:rsidRPr="00000000">
        <w:rPr>
          <w:color w:val="2b2b2b"/>
          <w:sz w:val="21"/>
          <w:szCs w:val="21"/>
          <w:rtl w:val="0"/>
        </w:rPr>
        <w:t xml:space="preserve"> Identify any specialized features or services offered by a particular provider that could be beneficial for Initrobe.</w:t>
      </w:r>
    </w:p>
    <w:p w:rsidR="00000000" w:rsidDel="00000000" w:rsidP="00000000" w:rsidRDefault="00000000" w:rsidRPr="00000000" w14:paraId="0000001B">
      <w:pPr>
        <w:pStyle w:val="Heading3"/>
        <w:keepNext w:val="0"/>
        <w:keepLines w:val="0"/>
        <w:spacing w:after="160" w:before="0" w:line="320" w:lineRule="auto"/>
        <w:rPr>
          <w:b w:val="1"/>
          <w:color w:val="666666"/>
          <w:sz w:val="27"/>
          <w:szCs w:val="27"/>
        </w:rPr>
      </w:pPr>
      <w:bookmarkStart w:colFirst="0" w:colLast="0" w:name="_loj0ktmv6gmo" w:id="0"/>
      <w:bookmarkEnd w:id="0"/>
      <w:r w:rsidDel="00000000" w:rsidR="00000000" w:rsidRPr="00000000">
        <w:rPr>
          <w:b w:val="1"/>
          <w:color w:val="666666"/>
          <w:sz w:val="27"/>
          <w:szCs w:val="27"/>
          <w:rtl w:val="0"/>
        </w:rPr>
        <w:t xml:space="preserve">Part 2: Provider Recommendation</w:t>
      </w:r>
    </w:p>
    <w:p w:rsidR="00000000" w:rsidDel="00000000" w:rsidP="00000000" w:rsidRDefault="00000000" w:rsidRPr="00000000" w14:paraId="0000001C">
      <w:pPr>
        <w:spacing w:after="300" w:lineRule="auto"/>
        <w:rPr>
          <w:color w:val="2b2b2b"/>
          <w:sz w:val="21"/>
          <w:szCs w:val="21"/>
        </w:rPr>
      </w:pPr>
      <w:r w:rsidDel="00000000" w:rsidR="00000000" w:rsidRPr="00000000">
        <w:rPr>
          <w:color w:val="2b2b2b"/>
          <w:sz w:val="21"/>
          <w:szCs w:val="21"/>
          <w:rtl w:val="0"/>
        </w:rPr>
        <w:t xml:space="preserve">Which IaaS provider should Initrobe adopt for its needs? Explain:</w:t>
        <w:br w:type="textWrapping"/>
        <w:br w:type="textWrapping"/>
        <w:t xml:space="preserve">All three cloud providers (AWS, Azure, and GCP) are strong contenders with robust SOC 2 compliance. Selecting the most suitable option depends on Initrobe's specific needs and priorities. Here's a breakdown to assist Initrobe's decision:</w:t>
      </w:r>
    </w:p>
    <w:p w:rsidR="00000000" w:rsidDel="00000000" w:rsidP="00000000" w:rsidRDefault="00000000" w:rsidRPr="00000000" w14:paraId="0000001D">
      <w:pPr>
        <w:spacing w:after="240" w:before="240" w:lineRule="auto"/>
        <w:rPr>
          <w:b w:val="1"/>
          <w:color w:val="2b2b2b"/>
          <w:sz w:val="21"/>
          <w:szCs w:val="21"/>
        </w:rPr>
      </w:pPr>
      <w:r w:rsidDel="00000000" w:rsidR="00000000" w:rsidRPr="00000000">
        <w:rPr>
          <w:b w:val="1"/>
          <w:color w:val="2b2b2b"/>
          <w:sz w:val="21"/>
          <w:szCs w:val="21"/>
          <w:rtl w:val="0"/>
        </w:rPr>
        <w:t xml:space="preserve">Factors to Consider:</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b w:val="1"/>
          <w:color w:val="2b2b2b"/>
          <w:sz w:val="21"/>
          <w:szCs w:val="21"/>
          <w:rtl w:val="0"/>
        </w:rPr>
        <w:t xml:space="preserve">Security:</w:t>
      </w:r>
      <w:r w:rsidDel="00000000" w:rsidR="00000000" w:rsidRPr="00000000">
        <w:rPr>
          <w:color w:val="2b2b2b"/>
          <w:sz w:val="21"/>
          <w:szCs w:val="21"/>
          <w:rtl w:val="0"/>
        </w:rPr>
        <w:t xml:space="preserve"> All three providers offer SOC 2 compliance, but Initrobe should delve deeper into the details of each provider's SOC 2 reports using their respective compliance portals (AWS Artifact, Azure Compliance Documentation, GCP Compliance Resource Center). This will ensure the reports cover the specific Security, Availability, Confidentiality, Processing Integrity, and Privacy controls required for Initrobe's HR (PII) and financial (SOX) data.</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color w:val="2b2b2b"/>
          <w:sz w:val="21"/>
          <w:szCs w:val="21"/>
          <w:rtl w:val="0"/>
        </w:rPr>
        <w:t xml:space="preserve">Pricing:</w:t>
      </w:r>
      <w:r w:rsidDel="00000000" w:rsidR="00000000" w:rsidRPr="00000000">
        <w:rPr>
          <w:color w:val="2b2b2b"/>
          <w:sz w:val="21"/>
          <w:szCs w:val="21"/>
          <w:rtl w:val="0"/>
        </w:rPr>
        <w:t xml:space="preserve"> Carefully compare pricing structures and service tiers offered by each provider to find the most cost-effective solution that meets Initrobe's needs.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color w:val="2b2b2b"/>
          <w:sz w:val="21"/>
          <w:szCs w:val="21"/>
          <w:rtl w:val="0"/>
        </w:rPr>
        <w:t xml:space="preserve">Scalability:</w:t>
      </w:r>
      <w:r w:rsidDel="00000000" w:rsidR="00000000" w:rsidRPr="00000000">
        <w:rPr>
          <w:color w:val="2b2b2b"/>
          <w:sz w:val="21"/>
          <w:szCs w:val="21"/>
          <w:rtl w:val="0"/>
        </w:rPr>
        <w:t xml:space="preserve"> Evaluate each provider's ability to scale its cloud infrastructure to accommodate Initrobe's projected growth.</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color w:val="2b2b2b"/>
          <w:sz w:val="21"/>
          <w:szCs w:val="21"/>
          <w:rtl w:val="0"/>
        </w:rPr>
        <w:t xml:space="preserve">Specific Features and Services:</w:t>
      </w:r>
      <w:r w:rsidDel="00000000" w:rsidR="00000000" w:rsidRPr="00000000">
        <w:rPr>
          <w:color w:val="2b2b2b"/>
          <w:sz w:val="21"/>
          <w:szCs w:val="21"/>
          <w:rtl w:val="0"/>
        </w:rPr>
        <w:t xml:space="preserve"> Identify any specialized features or services offered by a particular provider that could be beneficial for Initrobe, such as machine learning or data analytics capabilities.</w:t>
        <w:br w:type="textWrapping"/>
      </w:r>
    </w:p>
    <w:p w:rsidR="00000000" w:rsidDel="00000000" w:rsidP="00000000" w:rsidRDefault="00000000" w:rsidRPr="00000000" w14:paraId="00000022">
      <w:pPr>
        <w:spacing w:after="240" w:before="240" w:lineRule="auto"/>
        <w:rPr>
          <w:b w:val="1"/>
          <w:color w:val="2b2b2b"/>
          <w:sz w:val="21"/>
          <w:szCs w:val="21"/>
        </w:rPr>
      </w:pPr>
      <w:r w:rsidDel="00000000" w:rsidR="00000000" w:rsidRPr="00000000">
        <w:rPr>
          <w:b w:val="1"/>
          <w:color w:val="2b2b2b"/>
          <w:sz w:val="21"/>
          <w:szCs w:val="21"/>
          <w:rtl w:val="0"/>
        </w:rPr>
        <w:t xml:space="preserve">Justification:</w:t>
      </w:r>
    </w:p>
    <w:p w:rsidR="00000000" w:rsidDel="00000000" w:rsidP="00000000" w:rsidRDefault="00000000" w:rsidRPr="00000000" w14:paraId="00000023">
      <w:pPr>
        <w:spacing w:after="240" w:before="240" w:lineRule="auto"/>
        <w:rPr>
          <w:color w:val="2b2b2b"/>
          <w:sz w:val="21"/>
          <w:szCs w:val="21"/>
        </w:rPr>
      </w:pPr>
      <w:r w:rsidDel="00000000" w:rsidR="00000000" w:rsidRPr="00000000">
        <w:rPr>
          <w:color w:val="2b2b2b"/>
          <w:sz w:val="21"/>
          <w:szCs w:val="21"/>
          <w:rtl w:val="0"/>
        </w:rPr>
        <w:t xml:space="preserve">Given the lack of specific information about Initrobe's priorities beyond SOC 2 compliance and the need to store HR (PII) and financial (SOX) data, recommending a single provider is difficult. However, all three providers can likely accommodate Initrobe's needs. Here's a brief overview of each provider's strengths:</w:t>
      </w:r>
    </w:p>
    <w:p w:rsidR="00000000" w:rsidDel="00000000" w:rsidP="00000000" w:rsidRDefault="00000000" w:rsidRPr="00000000" w14:paraId="00000024">
      <w:pPr>
        <w:numPr>
          <w:ilvl w:val="0"/>
          <w:numId w:val="1"/>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AWS:</w:t>
      </w:r>
      <w:r w:rsidDel="00000000" w:rsidR="00000000" w:rsidRPr="00000000">
        <w:rPr>
          <w:color w:val="2b2b2b"/>
          <w:sz w:val="21"/>
          <w:szCs w:val="21"/>
          <w:rtl w:val="0"/>
        </w:rPr>
        <w:t xml:space="preserve"> The most “mature” and widely adopted cloud platform, offering a vast array of services and features.</w:t>
      </w:r>
    </w:p>
    <w:p w:rsidR="00000000" w:rsidDel="00000000" w:rsidP="00000000" w:rsidRDefault="00000000" w:rsidRPr="00000000" w14:paraId="00000025">
      <w:pPr>
        <w:numPr>
          <w:ilvl w:val="0"/>
          <w:numId w:val="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Azure:</w:t>
      </w:r>
      <w:r w:rsidDel="00000000" w:rsidR="00000000" w:rsidRPr="00000000">
        <w:rPr>
          <w:color w:val="2b2b2b"/>
          <w:sz w:val="21"/>
          <w:szCs w:val="21"/>
          <w:rtl w:val="0"/>
        </w:rPr>
        <w:t xml:space="preserve"> Tight integration with other Microsoft products and services, potentially beneficial if Initrobe utilizes a Microsoft stack.</w:t>
      </w:r>
    </w:p>
    <w:p w:rsidR="00000000" w:rsidDel="00000000" w:rsidP="00000000" w:rsidRDefault="00000000" w:rsidRPr="00000000" w14:paraId="00000026">
      <w:pPr>
        <w:numPr>
          <w:ilvl w:val="0"/>
          <w:numId w:val="1"/>
        </w:numPr>
        <w:spacing w:after="240" w:before="0" w:beforeAutospacing="0" w:lineRule="auto"/>
        <w:ind w:left="720" w:hanging="360"/>
        <w:rPr>
          <w:color w:val="2b2b2b"/>
          <w:sz w:val="21"/>
          <w:szCs w:val="21"/>
        </w:rPr>
      </w:pPr>
      <w:r w:rsidDel="00000000" w:rsidR="00000000" w:rsidRPr="00000000">
        <w:rPr>
          <w:b w:val="1"/>
          <w:color w:val="2b2b2b"/>
          <w:sz w:val="21"/>
          <w:szCs w:val="21"/>
          <w:rtl w:val="0"/>
        </w:rPr>
        <w:t xml:space="preserve">GCP:</w:t>
      </w:r>
      <w:r w:rsidDel="00000000" w:rsidR="00000000" w:rsidRPr="00000000">
        <w:rPr>
          <w:color w:val="2b2b2b"/>
          <w:sz w:val="21"/>
          <w:szCs w:val="21"/>
          <w:rtl w:val="0"/>
        </w:rPr>
        <w:t xml:space="preserve"> Known for its innovative approach, strong security features, and competitive pricing.</w:t>
        <w:br w:type="textWrapping"/>
        <w:br w:type="textWrapping"/>
        <w:t xml:space="preserve">I’ll choose Google Cloud Platform for competitive pricing and Interaction with the Google Workspace implemented by Introbe.</w:t>
      </w:r>
    </w:p>
    <w:p w:rsidR="00000000" w:rsidDel="00000000" w:rsidP="00000000" w:rsidRDefault="00000000" w:rsidRPr="00000000" w14:paraId="00000027">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8">
      <w:pPr>
        <w:numPr>
          <w:ilvl w:val="0"/>
          <w:numId w:val="8"/>
        </w:numPr>
        <w:spacing w:after="0" w:afterAutospacing="0" w:lineRule="auto"/>
        <w:ind w:left="720" w:hanging="360"/>
      </w:pPr>
      <w:r w:rsidDel="00000000" w:rsidR="00000000" w:rsidRPr="00000000">
        <w:rPr>
          <w:color w:val="2b2b2b"/>
          <w:sz w:val="21"/>
          <w:szCs w:val="21"/>
          <w:rtl w:val="0"/>
        </w:rPr>
        <w:t xml:space="preserve">How is this provider SOC 2 compliant?</w:t>
        <w:br w:type="textWrapping"/>
        <w:br w:type="textWrapping"/>
        <w:t xml:space="preserve">Google Cloud Platform (GCP) offers robust SOC 2 compliance for its cloud services. Here's a resume of how GCP achieves SOC 2 compliance:</w:t>
        <w:br w:type="textWrapping"/>
      </w:r>
    </w:p>
    <w:p w:rsidR="00000000" w:rsidDel="00000000" w:rsidP="00000000" w:rsidRDefault="00000000" w:rsidRPr="00000000" w14:paraId="00000029">
      <w:pPr>
        <w:numPr>
          <w:ilvl w:val="0"/>
          <w:numId w:val="6"/>
        </w:numPr>
        <w:spacing w:after="0" w:afterAutospacing="0" w:before="0" w:beforeAutospacing="0" w:lineRule="auto"/>
        <w:ind w:left="1440" w:hanging="360"/>
        <w:rPr>
          <w:color w:val="2b2b2b"/>
          <w:sz w:val="21"/>
          <w:szCs w:val="21"/>
        </w:rPr>
      </w:pPr>
      <w:r w:rsidDel="00000000" w:rsidR="00000000" w:rsidRPr="00000000">
        <w:rPr>
          <w:b w:val="1"/>
          <w:color w:val="2b2b2b"/>
          <w:sz w:val="21"/>
          <w:szCs w:val="21"/>
          <w:rtl w:val="0"/>
        </w:rPr>
        <w:t xml:space="preserve">SOC 2 Reports:</w:t>
      </w:r>
      <w:r w:rsidDel="00000000" w:rsidR="00000000" w:rsidRPr="00000000">
        <w:rPr>
          <w:color w:val="2b2b2b"/>
          <w:sz w:val="21"/>
          <w:szCs w:val="21"/>
          <w:rtl w:val="0"/>
        </w:rPr>
        <w:t xml:space="preserve"> GCP undergoes regular independent audits by accredited auditors to obtain SOC 2 reports. These reports detail GCP's security controls and processes relevant to the SOC 2 Trust Service Principles, which include:</w:t>
        <w:br w:type="textWrapping"/>
      </w:r>
    </w:p>
    <w:p w:rsidR="00000000" w:rsidDel="00000000" w:rsidP="00000000" w:rsidRDefault="00000000" w:rsidRPr="00000000" w14:paraId="0000002A">
      <w:pPr>
        <w:numPr>
          <w:ilvl w:val="1"/>
          <w:numId w:val="6"/>
        </w:numPr>
        <w:spacing w:after="0" w:afterAutospacing="0" w:before="0" w:beforeAutospacing="0" w:lineRule="auto"/>
        <w:ind w:left="2160" w:hanging="360"/>
        <w:rPr>
          <w:color w:val="2b2b2b"/>
          <w:sz w:val="21"/>
          <w:szCs w:val="21"/>
        </w:rPr>
      </w:pPr>
      <w:r w:rsidDel="00000000" w:rsidR="00000000" w:rsidRPr="00000000">
        <w:rPr>
          <w:color w:val="2b2b2b"/>
          <w:sz w:val="21"/>
          <w:szCs w:val="21"/>
          <w:rtl w:val="0"/>
        </w:rPr>
        <w:t xml:space="preserve">Security: Safeguarding customer data and infrastructure from unauthorized access.</w:t>
      </w:r>
    </w:p>
    <w:p w:rsidR="00000000" w:rsidDel="00000000" w:rsidP="00000000" w:rsidRDefault="00000000" w:rsidRPr="00000000" w14:paraId="0000002B">
      <w:pPr>
        <w:numPr>
          <w:ilvl w:val="1"/>
          <w:numId w:val="6"/>
        </w:numPr>
        <w:spacing w:after="0" w:afterAutospacing="0" w:before="0" w:beforeAutospacing="0" w:lineRule="auto"/>
        <w:ind w:left="2160" w:hanging="360"/>
        <w:rPr>
          <w:color w:val="2b2b2b"/>
          <w:sz w:val="21"/>
          <w:szCs w:val="21"/>
        </w:rPr>
      </w:pPr>
      <w:r w:rsidDel="00000000" w:rsidR="00000000" w:rsidRPr="00000000">
        <w:rPr>
          <w:color w:val="2b2b2b"/>
          <w:sz w:val="21"/>
          <w:szCs w:val="21"/>
          <w:rtl w:val="0"/>
        </w:rPr>
        <w:t xml:space="preserve">Availability: Ensuring customer systems and data are accessible when needed.</w:t>
      </w:r>
    </w:p>
    <w:p w:rsidR="00000000" w:rsidDel="00000000" w:rsidP="00000000" w:rsidRDefault="00000000" w:rsidRPr="00000000" w14:paraId="0000002C">
      <w:pPr>
        <w:numPr>
          <w:ilvl w:val="1"/>
          <w:numId w:val="6"/>
        </w:numPr>
        <w:spacing w:after="0" w:afterAutospacing="0" w:before="0" w:beforeAutospacing="0" w:lineRule="auto"/>
        <w:ind w:left="2160" w:hanging="360"/>
        <w:rPr>
          <w:color w:val="2b2b2b"/>
          <w:sz w:val="21"/>
          <w:szCs w:val="21"/>
        </w:rPr>
      </w:pPr>
      <w:r w:rsidDel="00000000" w:rsidR="00000000" w:rsidRPr="00000000">
        <w:rPr>
          <w:color w:val="2b2b2b"/>
          <w:sz w:val="21"/>
          <w:szCs w:val="21"/>
          <w:rtl w:val="0"/>
        </w:rPr>
        <w:t xml:space="preserve">Confidentiality: Protecting the privacy of customer data.</w:t>
      </w:r>
    </w:p>
    <w:p w:rsidR="00000000" w:rsidDel="00000000" w:rsidP="00000000" w:rsidRDefault="00000000" w:rsidRPr="00000000" w14:paraId="0000002D">
      <w:pPr>
        <w:numPr>
          <w:ilvl w:val="1"/>
          <w:numId w:val="6"/>
        </w:numPr>
        <w:spacing w:after="0" w:afterAutospacing="0" w:before="0" w:beforeAutospacing="0" w:lineRule="auto"/>
        <w:ind w:left="2160" w:hanging="360"/>
        <w:rPr>
          <w:color w:val="2b2b2b"/>
          <w:sz w:val="21"/>
          <w:szCs w:val="21"/>
        </w:rPr>
      </w:pPr>
      <w:r w:rsidDel="00000000" w:rsidR="00000000" w:rsidRPr="00000000">
        <w:rPr>
          <w:color w:val="2b2b2b"/>
          <w:sz w:val="21"/>
          <w:szCs w:val="21"/>
          <w:rtl w:val="0"/>
        </w:rPr>
        <w:t xml:space="preserve">Processing Integrity: Ensuring the accuracy and completeness of customer data during processing.</w:t>
      </w:r>
    </w:p>
    <w:p w:rsidR="00000000" w:rsidDel="00000000" w:rsidP="00000000" w:rsidRDefault="00000000" w:rsidRPr="00000000" w14:paraId="0000002E">
      <w:pPr>
        <w:numPr>
          <w:ilvl w:val="1"/>
          <w:numId w:val="6"/>
        </w:numPr>
        <w:spacing w:after="0" w:afterAutospacing="0" w:before="0" w:beforeAutospacing="0" w:lineRule="auto"/>
        <w:ind w:left="2160" w:hanging="360"/>
        <w:rPr>
          <w:color w:val="2b2b2b"/>
          <w:sz w:val="21"/>
          <w:szCs w:val="21"/>
        </w:rPr>
      </w:pPr>
      <w:r w:rsidDel="00000000" w:rsidR="00000000" w:rsidRPr="00000000">
        <w:rPr>
          <w:color w:val="2b2b2b"/>
          <w:sz w:val="21"/>
          <w:szCs w:val="21"/>
          <w:rtl w:val="0"/>
        </w:rPr>
        <w:t xml:space="preserve">Privacy: Following data privacy regulations and respecting customer privacy rights.</w:t>
      </w:r>
    </w:p>
    <w:p w:rsidR="00000000" w:rsidDel="00000000" w:rsidP="00000000" w:rsidRDefault="00000000" w:rsidRPr="00000000" w14:paraId="0000002F">
      <w:pPr>
        <w:numPr>
          <w:ilvl w:val="0"/>
          <w:numId w:val="6"/>
        </w:numPr>
        <w:spacing w:after="0" w:afterAutospacing="0" w:before="0" w:beforeAutospacing="0" w:lineRule="auto"/>
        <w:ind w:left="1440" w:hanging="360"/>
        <w:rPr>
          <w:color w:val="2b2b2b"/>
          <w:sz w:val="21"/>
          <w:szCs w:val="21"/>
        </w:rPr>
      </w:pPr>
      <w:r w:rsidDel="00000000" w:rsidR="00000000" w:rsidRPr="00000000">
        <w:rPr>
          <w:b w:val="1"/>
          <w:color w:val="2b2b2b"/>
          <w:sz w:val="21"/>
          <w:szCs w:val="21"/>
          <w:rtl w:val="0"/>
        </w:rPr>
        <w:t xml:space="preserve">Compliance Documentation:</w:t>
      </w:r>
      <w:r w:rsidDel="00000000" w:rsidR="00000000" w:rsidRPr="00000000">
        <w:rPr>
          <w:color w:val="2b2b2b"/>
          <w:sz w:val="21"/>
          <w:szCs w:val="21"/>
          <w:rtl w:val="0"/>
        </w:rPr>
        <w:t xml:space="preserve"> The GCP Compliance Resource Center provides access to SOC 2 reports, PCI DSS reports, HIPAA compliance information, and other relevant documentation:</w:t>
      </w:r>
      <w:hyperlink r:id="rId19">
        <w:r w:rsidDel="00000000" w:rsidR="00000000" w:rsidRPr="00000000">
          <w:rPr>
            <w:color w:val="2b2b2b"/>
            <w:sz w:val="21"/>
            <w:szCs w:val="21"/>
            <w:rtl w:val="0"/>
          </w:rPr>
          <w:t xml:space="preserve"> </w:t>
        </w:r>
      </w:hyperlink>
      <w:hyperlink r:id="rId20">
        <w:r w:rsidDel="00000000" w:rsidR="00000000" w:rsidRPr="00000000">
          <w:rPr>
            <w:color w:val="1155cc"/>
            <w:sz w:val="21"/>
            <w:szCs w:val="21"/>
            <w:u w:val="single"/>
            <w:rtl w:val="0"/>
          </w:rPr>
          <w:t xml:space="preserve">https://cloud.google.com/compliance</w:t>
          <w:br w:type="textWrapping"/>
        </w:r>
      </w:hyperlink>
      <w:r w:rsidDel="00000000" w:rsidR="00000000" w:rsidRPr="00000000">
        <w:rPr>
          <w:rtl w:val="0"/>
        </w:rPr>
      </w:r>
    </w:p>
    <w:p w:rsidR="00000000" w:rsidDel="00000000" w:rsidP="00000000" w:rsidRDefault="00000000" w:rsidRPr="00000000" w14:paraId="00000030">
      <w:pPr>
        <w:numPr>
          <w:ilvl w:val="0"/>
          <w:numId w:val="6"/>
        </w:numPr>
        <w:spacing w:after="240" w:before="0" w:beforeAutospacing="0" w:lineRule="auto"/>
        <w:ind w:left="1440" w:hanging="360"/>
        <w:rPr>
          <w:color w:val="2b2b2b"/>
          <w:sz w:val="21"/>
          <w:szCs w:val="21"/>
        </w:rPr>
      </w:pPr>
      <w:r w:rsidDel="00000000" w:rsidR="00000000" w:rsidRPr="00000000">
        <w:rPr>
          <w:b w:val="1"/>
          <w:color w:val="2b2b2b"/>
          <w:sz w:val="21"/>
          <w:szCs w:val="21"/>
          <w:rtl w:val="0"/>
        </w:rPr>
        <w:t xml:space="preserve">Shared Responsibility Model:</w:t>
      </w:r>
      <w:r w:rsidDel="00000000" w:rsidR="00000000" w:rsidRPr="00000000">
        <w:rPr>
          <w:color w:val="2b2b2b"/>
          <w:sz w:val="21"/>
          <w:szCs w:val="21"/>
          <w:rtl w:val="0"/>
        </w:rPr>
        <w:t xml:space="preserve"> GCP is responsible for the security of the underlying cloud infrastructure, while customers are responsible for securing their data and workloads deployed on GCP.</w:t>
        <w:br w:type="textWrapping"/>
      </w:r>
    </w:p>
    <w:p w:rsidR="00000000" w:rsidDel="00000000" w:rsidP="00000000" w:rsidRDefault="00000000" w:rsidRPr="00000000" w14:paraId="00000031">
      <w:pPr>
        <w:spacing w:after="240" w:before="240" w:lineRule="auto"/>
        <w:ind w:firstLine="720"/>
        <w:rPr>
          <w:b w:val="1"/>
          <w:color w:val="2b2b2b"/>
          <w:sz w:val="21"/>
          <w:szCs w:val="21"/>
        </w:rPr>
      </w:pPr>
      <w:r w:rsidDel="00000000" w:rsidR="00000000" w:rsidRPr="00000000">
        <w:rPr>
          <w:b w:val="1"/>
          <w:color w:val="2b2b2b"/>
          <w:sz w:val="21"/>
          <w:szCs w:val="21"/>
          <w:rtl w:val="0"/>
        </w:rPr>
        <w:t xml:space="preserve">How to Verify GCP's SOC 2 Compliance:</w:t>
      </w:r>
    </w:p>
    <w:p w:rsidR="00000000" w:rsidDel="00000000" w:rsidP="00000000" w:rsidRDefault="00000000" w:rsidRPr="00000000" w14:paraId="00000032">
      <w:pPr>
        <w:numPr>
          <w:ilvl w:val="0"/>
          <w:numId w:val="11"/>
        </w:numPr>
        <w:spacing w:after="0" w:afterAutospacing="0" w:before="240" w:lineRule="auto"/>
        <w:ind w:left="1440" w:hanging="360"/>
        <w:rPr>
          <w:color w:val="2b2b2b"/>
          <w:sz w:val="21"/>
          <w:szCs w:val="21"/>
        </w:rPr>
      </w:pPr>
      <w:r w:rsidDel="00000000" w:rsidR="00000000" w:rsidRPr="00000000">
        <w:rPr>
          <w:color w:val="2b2b2b"/>
          <w:sz w:val="21"/>
          <w:szCs w:val="21"/>
          <w:rtl w:val="0"/>
        </w:rPr>
        <w:t xml:space="preserve">Visit the GCP Compliance Resource Center and explore the available SOC 2 reports:</w:t>
      </w:r>
      <w:hyperlink r:id="rId21">
        <w:r w:rsidDel="00000000" w:rsidR="00000000" w:rsidRPr="00000000">
          <w:rPr>
            <w:color w:val="2b2b2b"/>
            <w:sz w:val="21"/>
            <w:szCs w:val="21"/>
            <w:rtl w:val="0"/>
          </w:rPr>
          <w:t xml:space="preserve"> </w:t>
        </w:r>
      </w:hyperlink>
      <w:hyperlink r:id="rId22">
        <w:r w:rsidDel="00000000" w:rsidR="00000000" w:rsidRPr="00000000">
          <w:rPr>
            <w:color w:val="1155cc"/>
            <w:sz w:val="21"/>
            <w:szCs w:val="21"/>
            <w:u w:val="single"/>
            <w:rtl w:val="0"/>
          </w:rPr>
          <w:t xml:space="preserve">https://cloud.google.com/compliance</w:t>
        </w:r>
      </w:hyperlink>
      <w:r w:rsidDel="00000000" w:rsidR="00000000" w:rsidRPr="00000000">
        <w:rPr>
          <w:rtl w:val="0"/>
        </w:rPr>
      </w:r>
    </w:p>
    <w:p w:rsidR="00000000" w:rsidDel="00000000" w:rsidP="00000000" w:rsidRDefault="00000000" w:rsidRPr="00000000" w14:paraId="00000033">
      <w:pPr>
        <w:numPr>
          <w:ilvl w:val="0"/>
          <w:numId w:val="11"/>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The reports are categorized by service and region. Initrobe can find reports specific to the GCP services they plan to use (e.g., Google Cloud Storage, Google Compute Engine).</w:t>
      </w:r>
    </w:p>
    <w:p w:rsidR="00000000" w:rsidDel="00000000" w:rsidP="00000000" w:rsidRDefault="00000000" w:rsidRPr="00000000" w14:paraId="00000034">
      <w:pPr>
        <w:numPr>
          <w:ilvl w:val="0"/>
          <w:numId w:val="11"/>
        </w:numPr>
        <w:spacing w:after="240" w:before="0" w:beforeAutospacing="0" w:lineRule="auto"/>
        <w:ind w:left="1440" w:hanging="360"/>
        <w:rPr>
          <w:color w:val="2b2b2b"/>
          <w:sz w:val="21"/>
          <w:szCs w:val="21"/>
        </w:rPr>
      </w:pPr>
      <w:r w:rsidDel="00000000" w:rsidR="00000000" w:rsidRPr="00000000">
        <w:rPr>
          <w:color w:val="2b2b2b"/>
          <w:sz w:val="21"/>
          <w:szCs w:val="21"/>
          <w:rtl w:val="0"/>
        </w:rPr>
        <w:t xml:space="preserve">Each SOC 2 report details the specific controls audited and the relevant trust service principles covered.</w:t>
      </w:r>
    </w:p>
    <w:p w:rsidR="00000000" w:rsidDel="00000000" w:rsidP="00000000" w:rsidRDefault="00000000" w:rsidRPr="00000000" w14:paraId="00000035">
      <w:pPr>
        <w:spacing w:after="240" w:before="240" w:lineRule="auto"/>
        <w:ind w:firstLine="720"/>
        <w:rPr>
          <w:b w:val="1"/>
          <w:color w:val="2b2b2b"/>
          <w:sz w:val="21"/>
          <w:szCs w:val="21"/>
        </w:rPr>
      </w:pPr>
      <w:r w:rsidDel="00000000" w:rsidR="00000000" w:rsidRPr="00000000">
        <w:rPr>
          <w:b w:val="1"/>
          <w:color w:val="2b2b2b"/>
          <w:sz w:val="21"/>
          <w:szCs w:val="21"/>
          <w:rtl w:val="0"/>
        </w:rPr>
        <w:t xml:space="preserve">Additional Considerations:</w:t>
      </w:r>
    </w:p>
    <w:p w:rsidR="00000000" w:rsidDel="00000000" w:rsidP="00000000" w:rsidRDefault="00000000" w:rsidRPr="00000000" w14:paraId="00000036">
      <w:pPr>
        <w:numPr>
          <w:ilvl w:val="0"/>
          <w:numId w:val="2"/>
        </w:numPr>
        <w:spacing w:after="0" w:afterAutospacing="0" w:before="240" w:lineRule="auto"/>
        <w:ind w:left="1440" w:hanging="360"/>
        <w:rPr>
          <w:color w:val="2b2b2b"/>
          <w:sz w:val="21"/>
          <w:szCs w:val="21"/>
        </w:rPr>
      </w:pPr>
      <w:r w:rsidDel="00000000" w:rsidR="00000000" w:rsidRPr="00000000">
        <w:rPr>
          <w:color w:val="2b2b2b"/>
          <w:sz w:val="21"/>
          <w:szCs w:val="21"/>
          <w:rtl w:val="0"/>
        </w:rPr>
        <w:t xml:space="preserve">While GCP offers SOC 2 compliance, it's important for Initrobe to understand the specific controls covered in each report. They should ensure the reports align with their security needs for HR (PII) and financial (SOX) data storage.</w:t>
      </w:r>
    </w:p>
    <w:p w:rsidR="00000000" w:rsidDel="00000000" w:rsidP="00000000" w:rsidRDefault="00000000" w:rsidRPr="00000000" w14:paraId="00000037">
      <w:pPr>
        <w:numPr>
          <w:ilvl w:val="0"/>
          <w:numId w:val="2"/>
        </w:numPr>
        <w:spacing w:after="240" w:before="0" w:beforeAutospacing="0" w:lineRule="auto"/>
        <w:ind w:left="1440" w:hanging="360"/>
        <w:rPr>
          <w:color w:val="2b2b2b"/>
          <w:sz w:val="21"/>
          <w:szCs w:val="21"/>
        </w:rPr>
      </w:pPr>
      <w:r w:rsidDel="00000000" w:rsidR="00000000" w:rsidRPr="00000000">
        <w:rPr>
          <w:color w:val="2b2b2b"/>
          <w:sz w:val="21"/>
          <w:szCs w:val="21"/>
          <w:rtl w:val="0"/>
        </w:rPr>
        <w:t xml:space="preserve">SOC 2 compliance is just one aspect of cloud security. Initrobe should implement additional security measures within their GCP environment, such as encryption, access controls, and activity monitoring, to further safeguard sensitive data.</w:t>
      </w:r>
    </w:p>
    <w:p w:rsidR="00000000" w:rsidDel="00000000" w:rsidP="00000000" w:rsidRDefault="00000000" w:rsidRPr="00000000" w14:paraId="00000038">
      <w:pPr>
        <w:spacing w:after="240" w:before="240" w:lineRule="auto"/>
        <w:rPr>
          <w:color w:val="2b2b2b"/>
          <w:sz w:val="21"/>
          <w:szCs w:val="21"/>
        </w:rPr>
      </w:pPr>
      <w:r w:rsidDel="00000000" w:rsidR="00000000" w:rsidRPr="00000000">
        <w:rPr>
          <w:color w:val="2b2b2b"/>
          <w:sz w:val="21"/>
          <w:szCs w:val="21"/>
          <w:rtl w:val="0"/>
        </w:rPr>
        <w:t xml:space="preserve">By leveraging GCP's SOC 2 compliance and implementing strong security practices within their cloud environment, Initrobe can achieve a robust security posture for its HR (PII) and financial (SOX) data.</w:t>
      </w:r>
    </w:p>
    <w:p w:rsidR="00000000" w:rsidDel="00000000" w:rsidP="00000000" w:rsidRDefault="00000000" w:rsidRPr="00000000" w14:paraId="00000039">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3A">
      <w:pPr>
        <w:numPr>
          <w:ilvl w:val="0"/>
          <w:numId w:val="8"/>
        </w:numPr>
        <w:spacing w:after="0" w:afterAutospacing="0" w:lineRule="auto"/>
        <w:ind w:left="720" w:hanging="360"/>
      </w:pPr>
      <w:r w:rsidDel="00000000" w:rsidR="00000000" w:rsidRPr="00000000">
        <w:rPr>
          <w:color w:val="2b2b2b"/>
          <w:sz w:val="21"/>
          <w:szCs w:val="21"/>
          <w:rtl w:val="0"/>
        </w:rPr>
        <w:t xml:space="preserve">Will Initrobe be able to store HR (PII) data on this platform? Explain.</w:t>
        <w:br w:type="textWrapping"/>
        <w:br w:type="textWrapping"/>
        <w:t xml:space="preserve">All three providers offer cloud storage solutions that meet the regulatory requirements for storing HR (Personally Identifiable Information) data. However, Initrobe should ensure they configure the storage appropriately (e.g., encryption, access controls) to comply with relevant privacy regulations like GDPR or CCPA.</w:t>
        <w:br w:type="textWrapping"/>
      </w:r>
    </w:p>
    <w:p w:rsidR="00000000" w:rsidDel="00000000" w:rsidP="00000000" w:rsidRDefault="00000000" w:rsidRPr="00000000" w14:paraId="0000003B">
      <w:pPr>
        <w:numPr>
          <w:ilvl w:val="0"/>
          <w:numId w:val="8"/>
        </w:numPr>
        <w:spacing w:after="0" w:afterAutospacing="0" w:lineRule="auto"/>
        <w:ind w:left="720" w:hanging="360"/>
      </w:pPr>
      <w:r w:rsidDel="00000000" w:rsidR="00000000" w:rsidRPr="00000000">
        <w:rPr>
          <w:color w:val="2b2b2b"/>
          <w:sz w:val="21"/>
          <w:szCs w:val="21"/>
          <w:rtl w:val="0"/>
        </w:rPr>
        <w:t xml:space="preserve">Will initrobe be able to store financial (SOX) data on this platform? Explain.</w:t>
        <w:br w:type="textWrapping"/>
        <w:br w:type="textWrapping"/>
        <w:t xml:space="preserve">All three providers can store financial (SOX) data on their cloud platforms. However, it's crucial for Initrobe to understand that SOC 2 compliance does not automatically ensure SOX compliance. SOX compliance is a broader organizational responsibility that involves internal controls and processes beyond the cloud provider's security posture. Initrobe will need to implement additional safeguards to ensure they meet their SOX obligations when storing financial data in the cloud. This may involve using cloud storage solutions designed for regulatory compliance and ensuring audit trails are properly maintained.</w:t>
        <w:br w:type="textWrapping"/>
        <w:br w:type="textWrapping"/>
        <w:br w:type="textWrapping"/>
      </w:r>
      <w:r w:rsidDel="00000000" w:rsidR="00000000" w:rsidRPr="00000000">
        <w:rPr>
          <w:b w:val="1"/>
          <w:color w:val="2b2b2b"/>
          <w:sz w:val="21"/>
          <w:szCs w:val="21"/>
          <w:rtl w:val="0"/>
        </w:rPr>
        <w:t xml:space="preserve">Additional Considerations:</w:t>
      </w:r>
    </w:p>
    <w:p w:rsidR="00000000" w:rsidDel="00000000" w:rsidP="00000000" w:rsidRDefault="00000000" w:rsidRPr="00000000" w14:paraId="0000003C">
      <w:pPr>
        <w:numPr>
          <w:ilvl w:val="0"/>
          <w:numId w:val="5"/>
        </w:numPr>
        <w:spacing w:after="0" w:afterAutospacing="0" w:before="0" w:beforeAutospacing="0" w:lineRule="auto"/>
        <w:ind w:left="720" w:hanging="360"/>
        <w:rPr>
          <w:color w:val="2b2b2b"/>
          <w:sz w:val="21"/>
          <w:szCs w:val="21"/>
        </w:rPr>
      </w:pPr>
      <w:r w:rsidDel="00000000" w:rsidR="00000000" w:rsidRPr="00000000">
        <w:rPr>
          <w:color w:val="2b2b2b"/>
          <w:sz w:val="21"/>
          <w:szCs w:val="21"/>
          <w:rtl w:val="0"/>
        </w:rPr>
        <w:t xml:space="preserve">While GCP offers SOC 2 compliance, it's important for Initrobe to understand the specific controls covered in each report. They should ensure the reports align with their security needs for HR (PII) and financial (SOX) data storage.</w:t>
      </w:r>
    </w:p>
    <w:p w:rsidR="00000000" w:rsidDel="00000000" w:rsidP="00000000" w:rsidRDefault="00000000" w:rsidRPr="00000000" w14:paraId="0000003D">
      <w:pPr>
        <w:numPr>
          <w:ilvl w:val="0"/>
          <w:numId w:val="5"/>
        </w:numPr>
        <w:spacing w:after="240" w:before="0" w:beforeAutospacing="0" w:lineRule="auto"/>
        <w:ind w:left="720" w:hanging="360"/>
        <w:rPr>
          <w:color w:val="2b2b2b"/>
          <w:sz w:val="21"/>
          <w:szCs w:val="21"/>
        </w:rPr>
      </w:pPr>
      <w:r w:rsidDel="00000000" w:rsidR="00000000" w:rsidRPr="00000000">
        <w:rPr>
          <w:color w:val="2b2b2b"/>
          <w:sz w:val="21"/>
          <w:szCs w:val="21"/>
          <w:rtl w:val="0"/>
        </w:rPr>
        <w:t xml:space="preserve">SOC 2 compliance is just one aspect of cloud security. Initrobe should implement additional security measures within their GCP environment, such as encryption, access controls, and activity monitoring, to further safeguard sensitive data.</w:t>
        <w:br w:type="textWrapping"/>
      </w:r>
    </w:p>
    <w:p w:rsidR="00000000" w:rsidDel="00000000" w:rsidP="00000000" w:rsidRDefault="00000000" w:rsidRPr="00000000" w14:paraId="0000003E">
      <w:pPr>
        <w:pStyle w:val="Heading3"/>
        <w:keepNext w:val="0"/>
        <w:keepLines w:val="0"/>
        <w:spacing w:after="160" w:before="0" w:line="320" w:lineRule="auto"/>
        <w:rPr>
          <w:b w:val="1"/>
          <w:color w:val="666666"/>
          <w:sz w:val="27"/>
          <w:szCs w:val="27"/>
        </w:rPr>
      </w:pPr>
      <w:bookmarkStart w:colFirst="0" w:colLast="0" w:name="_j5f3asypitc7" w:id="1"/>
      <w:bookmarkEnd w:id="1"/>
      <w:r w:rsidDel="00000000" w:rsidR="00000000" w:rsidRPr="00000000">
        <w:rPr>
          <w:b w:val="1"/>
          <w:color w:val="666666"/>
          <w:sz w:val="27"/>
          <w:szCs w:val="27"/>
          <w:rtl w:val="0"/>
        </w:rPr>
        <w:t xml:space="preserve">Part 3: Cloud Security Policy</w:t>
      </w:r>
    </w:p>
    <w:p w:rsidR="00000000" w:rsidDel="00000000" w:rsidP="00000000" w:rsidRDefault="00000000" w:rsidRPr="00000000" w14:paraId="0000003F">
      <w:pPr>
        <w:spacing w:after="300" w:lineRule="auto"/>
        <w:rPr>
          <w:color w:val="2b2b2b"/>
          <w:sz w:val="21"/>
          <w:szCs w:val="21"/>
        </w:rPr>
      </w:pPr>
      <w:r w:rsidDel="00000000" w:rsidR="00000000" w:rsidRPr="00000000">
        <w:rPr>
          <w:color w:val="2b2b2b"/>
          <w:sz w:val="21"/>
          <w:szCs w:val="21"/>
          <w:rtl w:val="0"/>
        </w:rPr>
        <w:t xml:space="preserve">Referencing the scenario from Lab: Class 1 as well as the provided Cloud Security Policy Template PDF, compose and submit a cloud security policy document for Initrobe.</w:t>
      </w:r>
    </w:p>
    <w:p w:rsidR="00000000" w:rsidDel="00000000" w:rsidP="00000000" w:rsidRDefault="00000000" w:rsidRPr="00000000" w14:paraId="00000040">
      <w:pPr>
        <w:rPr/>
      </w:pPr>
      <w:hyperlink r:id="rId23">
        <w:r w:rsidDel="00000000" w:rsidR="00000000" w:rsidRPr="00000000">
          <w:rPr>
            <w:color w:val="1155cc"/>
            <w:u w:val="single"/>
            <w:rtl w:val="0"/>
          </w:rPr>
          <w:t xml:space="preserve">https://docs.google.com/document/d/1Nv2DdehK8DMNZBiiYVqBsl0T3MzPUzOVOrweJ6oyaeY/edit?usp=sharing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olfo Lopes" w:id="0" w:date="2024-05-17T10:16:0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provided a single screenshot. Otherwise, it is very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compliance" TargetMode="External"/><Relationship Id="rId11" Type="http://schemas.openxmlformats.org/officeDocument/2006/relationships/hyperlink" Target="https://cloud.google.com/compliance" TargetMode="External"/><Relationship Id="rId22" Type="http://schemas.openxmlformats.org/officeDocument/2006/relationships/hyperlink" Target="https://cloud.google.com/compliance" TargetMode="External"/><Relationship Id="rId10" Type="http://schemas.openxmlformats.org/officeDocument/2006/relationships/hyperlink" Target="https://www.microsoft.com/en-us/trust-center/compliance/compliance-overview" TargetMode="External"/><Relationship Id="rId21" Type="http://schemas.openxmlformats.org/officeDocument/2006/relationships/hyperlink" Target="https://cloud.google.com/compliance" TargetMode="External"/><Relationship Id="rId13" Type="http://schemas.openxmlformats.org/officeDocument/2006/relationships/hyperlink" Target="https://aws.amazon.com/compliance/" TargetMode="External"/><Relationship Id="rId12" Type="http://schemas.openxmlformats.org/officeDocument/2006/relationships/hyperlink" Target="https://cloud.google.com/compliance" TargetMode="External"/><Relationship Id="rId23" Type="http://schemas.openxmlformats.org/officeDocument/2006/relationships/hyperlink" Target="https://docs.google.com/document/d/1Nv2DdehK8DMNZBiiYVqBsl0T3MzPUzOVOrweJ6oyaeY/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icrosoft.com/en-us/trust-center/compliance/compliance-overview" TargetMode="External"/><Relationship Id="rId15" Type="http://schemas.openxmlformats.org/officeDocument/2006/relationships/hyperlink" Target="https://www.microsoft.com/en-us/trust-center/compliance/compliance-overview" TargetMode="External"/><Relationship Id="rId14" Type="http://schemas.openxmlformats.org/officeDocument/2006/relationships/hyperlink" Target="https://aws.amazon.com/compliance/" TargetMode="External"/><Relationship Id="rId17" Type="http://schemas.openxmlformats.org/officeDocument/2006/relationships/hyperlink" Target="https://cloud.google.com/compliance" TargetMode="External"/><Relationship Id="rId16" Type="http://schemas.openxmlformats.org/officeDocument/2006/relationships/hyperlink" Target="https://www.microsoft.com/en-us/trust-center/compliance/compliance-overview" TargetMode="External"/><Relationship Id="rId5" Type="http://schemas.openxmlformats.org/officeDocument/2006/relationships/numbering" Target="numbering.xml"/><Relationship Id="rId19" Type="http://schemas.openxmlformats.org/officeDocument/2006/relationships/hyperlink" Target="https://cloud.google.com/compliance" TargetMode="External"/><Relationship Id="rId6" Type="http://schemas.openxmlformats.org/officeDocument/2006/relationships/styles" Target="styles.xml"/><Relationship Id="rId18" Type="http://schemas.openxmlformats.org/officeDocument/2006/relationships/hyperlink" Target="https://cloud.google.com/compliance" TargetMode="External"/><Relationship Id="rId7" Type="http://schemas.openxmlformats.org/officeDocument/2006/relationships/hyperlink" Target="https://aws.amazon.com/compliance/" TargetMode="External"/><Relationship Id="rId8" Type="http://schemas.openxmlformats.org/officeDocument/2006/relationships/hyperlink" Target="https://aws.amazon.com/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