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46B" w:rsidRDefault="004521BA">
      <w:pPr>
        <w:spacing w:before="1440" w:after="200"/>
        <w:jc w:val="center"/>
      </w:pPr>
      <w:bookmarkStart w:id="0" w:name="_GoBack"/>
      <w:bookmarkEnd w:id="0"/>
      <w:r>
        <w:rPr>
          <w:b/>
          <w:bCs/>
          <w:color w:val="1F3864"/>
          <w:sz w:val="36"/>
          <w:szCs w:val="36"/>
        </w:rPr>
        <w:t>NOTE DE SYNTHÈSE</w:t>
      </w:r>
    </w:p>
    <w:p w:rsidR="00CD446B" w:rsidRDefault="004521BA">
      <w:pPr>
        <w:spacing w:after="140"/>
        <w:jc w:val="center"/>
      </w:pPr>
      <w:r>
        <w:rPr>
          <w:b/>
          <w:bCs/>
          <w:color w:val="C55A11"/>
          <w:sz w:val="30"/>
          <w:szCs w:val="30"/>
        </w:rPr>
        <w:t>Méga-incendies : repenser la prévention</w:t>
      </w:r>
    </w:p>
    <w:p w:rsidR="00CD446B" w:rsidRDefault="004521BA">
      <w:pPr>
        <w:spacing w:after="300"/>
        <w:jc w:val="center"/>
      </w:pPr>
      <w:proofErr w:type="gramStart"/>
      <w:r>
        <w:rPr>
          <w:b/>
          <w:bCs/>
          <w:color w:val="C55A11"/>
          <w:sz w:val="30"/>
          <w:szCs w:val="30"/>
        </w:rPr>
        <w:t>au-delà</w:t>
      </w:r>
      <w:proofErr w:type="gramEnd"/>
      <w:r>
        <w:rPr>
          <w:b/>
          <w:bCs/>
          <w:color w:val="C55A11"/>
          <w:sz w:val="30"/>
          <w:szCs w:val="30"/>
        </w:rPr>
        <w:t xml:space="preserve"> des moyens de lutte</w:t>
      </w:r>
    </w:p>
    <w:p w:rsidR="00CD446B" w:rsidRDefault="004521BA">
      <w:pPr>
        <w:spacing w:after="160"/>
        <w:jc w:val="center"/>
      </w:pPr>
      <w:r>
        <w:rPr>
          <w:i/>
          <w:iCs/>
          <w:color w:val="595959"/>
          <w:sz w:val="24"/>
          <w:szCs w:val="24"/>
        </w:rPr>
        <w:t>Un phénomène mondial qui appelle une réponse structurelle</w:t>
      </w:r>
    </w:p>
    <w:p w:rsidR="00CD446B" w:rsidRDefault="004521BA">
      <w:pPr>
        <w:spacing w:after="500"/>
        <w:jc w:val="center"/>
      </w:pPr>
      <w:r>
        <w:rPr>
          <w:i/>
          <w:iCs/>
          <w:color w:val="1F6B3C"/>
        </w:rPr>
        <w:t>De la prévention passive à la valorisation thermochimique de la biomasse forestière</w:t>
      </w:r>
    </w:p>
    <w:p w:rsidR="00CD446B" w:rsidRDefault="004521BA">
      <w:pPr>
        <w:spacing w:after="160"/>
        <w:jc w:val="center"/>
      </w:pPr>
      <w:r>
        <w:rPr>
          <w:color w:val="595959"/>
        </w:rPr>
        <w:t>Juillet 2026  —  Version 4</w:t>
      </w:r>
    </w:p>
    <w:p w:rsidR="00CD446B" w:rsidRDefault="004521BA">
      <w:pPr>
        <w:spacing w:after="1440"/>
        <w:jc w:val="center"/>
      </w:pPr>
      <w:r>
        <w:rPr>
          <w:i/>
          <w:iCs/>
          <w:color w:val="595959"/>
          <w:sz w:val="20"/>
          <w:szCs w:val="20"/>
        </w:rPr>
        <w:t>Document non commercial — diffusion libre</w:t>
      </w:r>
    </w:p>
    <w:p w:rsidR="00CD446B" w:rsidRDefault="004521BA">
      <w:pPr>
        <w:pStyle w:val="Titre1"/>
        <w:pBdr>
          <w:bottom w:val="single" w:sz="12" w:space="4" w:color="C55A11"/>
        </w:pBdr>
      </w:pPr>
      <w:r>
        <w:t>Introduction</w:t>
      </w:r>
    </w:p>
    <w:p w:rsidR="00CD446B" w:rsidRDefault="004521BA">
      <w:pPr>
        <w:spacing w:after="120" w:line="276" w:lineRule="auto"/>
        <w:jc w:val="both"/>
      </w:pPr>
      <w:r>
        <w:rPr>
          <w:color w:val="000000"/>
        </w:rPr>
        <w:t>Les incendies de forêt ne sont plus un phénomène méditerranéen saisonnier. En 2024 et 2025, des régions jusqu'alors épargnées ont été durement touchées : la Norvège, le Canada, la Sibérie, l'Écosse, le</w:t>
      </w:r>
      <w:r>
        <w:rPr>
          <w:color w:val="000000"/>
        </w:rPr>
        <w:t xml:space="preserve"> Chili, l'Australie orientale. La superficie totale brûlée à l'échelle mondiale a franchi des seuils historiques plusieurs années consécutives.</w:t>
      </w:r>
    </w:p>
    <w:p w:rsidR="00CD446B" w:rsidRDefault="004521BA">
      <w:pPr>
        <w:spacing w:after="120" w:line="276" w:lineRule="auto"/>
        <w:jc w:val="both"/>
      </w:pPr>
      <w:r>
        <w:rPr>
          <w:color w:val="000000"/>
        </w:rPr>
        <w:t>Cette évolution est souvent présentée comme la conséquence directe du réchauffement climatique. Ce cadrage, bien</w:t>
      </w:r>
      <w:r>
        <w:rPr>
          <w:color w:val="000000"/>
        </w:rPr>
        <w:t xml:space="preserve"> que partiellement fondé, est réducteur et conduit à une impasse politique : si le problème est uniquement climatique, seule la </w:t>
      </w:r>
      <w:proofErr w:type="spellStart"/>
      <w:r>
        <w:rPr>
          <w:color w:val="000000"/>
        </w:rPr>
        <w:t>décarbonation</w:t>
      </w:r>
      <w:proofErr w:type="spellEnd"/>
      <w:r>
        <w:rPr>
          <w:color w:val="000000"/>
        </w:rPr>
        <w:t xml:space="preserve"> à l'échelle planétaire peut y répondre, et aucune action locale ou régionale n'est pertinente à court terme.</w:t>
      </w:r>
    </w:p>
    <w:p w:rsidR="00CD446B" w:rsidRDefault="004521BA">
      <w:pPr>
        <w:spacing w:after="120" w:line="276" w:lineRule="auto"/>
        <w:jc w:val="both"/>
      </w:pPr>
      <w:r>
        <w:rPr>
          <w:color w:val="000000"/>
        </w:rPr>
        <w:t>La pr</w:t>
      </w:r>
      <w:r>
        <w:rPr>
          <w:color w:val="000000"/>
        </w:rPr>
        <w:t>ésente note propose un cadre d'analyse plus complet et plus opérationnel. Elle distingue les facteurs maîtrisables des facteurs non maîtrisables, identifie le rôle central de la biomasse combustible dans l'intensification des feux, et formule des préconisa</w:t>
      </w:r>
      <w:r>
        <w:rPr>
          <w:color w:val="000000"/>
        </w:rPr>
        <w:t>tions structurelles applicables à toute région exposée. Elle montre en particulier que la réponse la plus efficace à la prévention incendie — la valorisation thermochimique de la biomasse résiduelle forestière — est simultanément un levier de transition én</w:t>
      </w:r>
      <w:r>
        <w:rPr>
          <w:color w:val="000000"/>
        </w:rPr>
        <w:t>ergétique et un levier de séquestration carbone.</w:t>
      </w:r>
    </w:p>
    <w:p w:rsidR="00CD446B" w:rsidRDefault="00CD446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D446B">
        <w:tblPrEx>
          <w:tblCellMar>
            <w:top w:w="0" w:type="dxa"/>
            <w:bottom w:w="0" w:type="dxa"/>
          </w:tblCellMar>
        </w:tblPrEx>
        <w:tc>
          <w:tcPr>
            <w:tcW w:w="9200" w:type="dxa"/>
            <w:shd w:val="clear" w:color="auto" w:fill="EBF2FA"/>
            <w:tcMar>
              <w:top w:w="140" w:type="dxa"/>
              <w:left w:w="220" w:type="dxa"/>
              <w:bottom w:w="140" w:type="dxa"/>
              <w:right w:w="220" w:type="dxa"/>
            </w:tcMar>
          </w:tcPr>
          <w:p w:rsidR="00CD446B" w:rsidRDefault="004521BA">
            <w:pPr>
              <w:spacing w:after="80" w:line="260" w:lineRule="auto"/>
              <w:ind w:left="144" w:right="144"/>
              <w:jc w:val="both"/>
            </w:pPr>
            <w:r>
              <w:rPr>
                <w:b/>
                <w:bCs/>
                <w:color w:val="1F3864"/>
                <w:sz w:val="21"/>
                <w:szCs w:val="21"/>
              </w:rPr>
              <w:t>Ce que cette note n'affirme pas</w:t>
            </w:r>
          </w:p>
          <w:p w:rsidR="00CD446B" w:rsidRDefault="00CD446B">
            <w:pPr>
              <w:spacing w:after="40" w:line="260" w:lineRule="auto"/>
              <w:ind w:left="144" w:right="144"/>
              <w:jc w:val="both"/>
            </w:pPr>
          </w:p>
          <w:p w:rsidR="00CD446B" w:rsidRDefault="004521BA">
            <w:pPr>
              <w:spacing w:after="80" w:line="260" w:lineRule="auto"/>
              <w:ind w:left="144" w:right="144"/>
              <w:jc w:val="both"/>
            </w:pPr>
            <w:r>
              <w:rPr>
                <w:color w:val="595959"/>
                <w:sz w:val="21"/>
                <w:szCs w:val="21"/>
              </w:rPr>
              <w:t>— Le changement climatique contribue à accroître le risque d'incendie : cette note ne le conteste pas.</w:t>
            </w:r>
          </w:p>
          <w:p w:rsidR="00CD446B" w:rsidRDefault="004521BA">
            <w:pPr>
              <w:spacing w:after="80" w:line="260" w:lineRule="auto"/>
              <w:ind w:left="144" w:right="144"/>
              <w:jc w:val="both"/>
            </w:pPr>
            <w:r>
              <w:rPr>
                <w:color w:val="595959"/>
                <w:sz w:val="21"/>
                <w:szCs w:val="21"/>
              </w:rPr>
              <w:t>— Elle ne prétend pas supprimer le risque incendie : celui-ci existera toujours.</w:t>
            </w:r>
          </w:p>
          <w:p w:rsidR="00CD446B" w:rsidRDefault="004521BA">
            <w:pPr>
              <w:spacing w:after="80" w:line="260" w:lineRule="auto"/>
              <w:ind w:left="144" w:right="144"/>
              <w:jc w:val="both"/>
            </w:pPr>
            <w:r>
              <w:rPr>
                <w:color w:val="595959"/>
                <w:sz w:val="21"/>
                <w:szCs w:val="21"/>
              </w:rPr>
              <w:lastRenderedPageBreak/>
              <w:t>— Elle montre qu'il existe un levier d'action local, immédiatement mobilisable, fondé sur la gestion du combustible.</w:t>
            </w:r>
          </w:p>
          <w:p w:rsidR="00CD446B" w:rsidRDefault="004521BA">
            <w:pPr>
              <w:spacing w:after="80" w:line="260" w:lineRule="auto"/>
              <w:ind w:left="144" w:right="144"/>
              <w:jc w:val="both"/>
            </w:pPr>
            <w:r>
              <w:rPr>
                <w:color w:val="595959"/>
                <w:sz w:val="21"/>
                <w:szCs w:val="21"/>
              </w:rPr>
              <w:t>— La valorisation thermochimique est proposée comme un complément aux politiques de prévention existantes,</w:t>
            </w:r>
          </w:p>
          <w:p w:rsidR="00CD446B" w:rsidRDefault="004521BA">
            <w:pPr>
              <w:spacing w:after="80" w:line="260" w:lineRule="auto"/>
              <w:ind w:left="144" w:right="144"/>
              <w:jc w:val="both"/>
            </w:pPr>
            <w:r>
              <w:rPr>
                <w:color w:val="000000"/>
                <w:sz w:val="21"/>
                <w:szCs w:val="21"/>
              </w:rPr>
              <w:t xml:space="preserve">   et non comme leur substitut unique.</w:t>
            </w:r>
          </w:p>
          <w:p w:rsidR="00CD446B" w:rsidRDefault="004521BA">
            <w:pPr>
              <w:spacing w:after="80" w:line="260" w:lineRule="auto"/>
              <w:ind w:left="144" w:right="144"/>
              <w:jc w:val="both"/>
            </w:pPr>
            <w:r>
              <w:rPr>
                <w:color w:val="595959"/>
                <w:sz w:val="21"/>
                <w:szCs w:val="21"/>
              </w:rPr>
              <w:t>— Les préconisations sont applicables indépendamment de tout programme ou filière particulier.</w:t>
            </w:r>
          </w:p>
          <w:p w:rsidR="00CD446B" w:rsidRDefault="004521BA">
            <w:pPr>
              <w:spacing w:after="80" w:line="260" w:lineRule="auto"/>
              <w:ind w:left="144" w:right="144"/>
              <w:jc w:val="both"/>
            </w:pPr>
            <w:r>
              <w:rPr>
                <w:color w:val="595959"/>
                <w:sz w:val="21"/>
                <w:szCs w:val="21"/>
              </w:rPr>
              <w:t>— Le prélèvemen</w:t>
            </w:r>
            <w:r>
              <w:rPr>
                <w:color w:val="595959"/>
                <w:sz w:val="21"/>
                <w:szCs w:val="21"/>
              </w:rPr>
              <w:t xml:space="preserve">t de biomasse résiduelle s'inscrit dans un cadre de gestion écologique respectant les seuils de maintien de la biodiversité des sols et la </w:t>
            </w:r>
            <w:proofErr w:type="spellStart"/>
            <w:r>
              <w:rPr>
                <w:color w:val="595959"/>
                <w:sz w:val="21"/>
                <w:szCs w:val="21"/>
              </w:rPr>
              <w:t>nécromasse</w:t>
            </w:r>
            <w:proofErr w:type="spellEnd"/>
            <w:r>
              <w:rPr>
                <w:color w:val="595959"/>
                <w:sz w:val="21"/>
                <w:szCs w:val="21"/>
              </w:rPr>
              <w:t xml:space="preserve"> nécessaire aux écosystèmes forestiers ; cette note ne plaide pas pour un prélèvement maximal mais pour la </w:t>
            </w:r>
            <w:r>
              <w:rPr>
                <w:color w:val="595959"/>
                <w:sz w:val="21"/>
                <w:szCs w:val="21"/>
              </w:rPr>
              <w:t>valorisation des résidus déjà mobilisables.</w:t>
            </w:r>
          </w:p>
        </w:tc>
      </w:tr>
    </w:tbl>
    <w:p w:rsidR="00CD446B" w:rsidRDefault="00CD446B">
      <w:pPr>
        <w:spacing w:after="80"/>
      </w:pPr>
    </w:p>
    <w:p w:rsidR="00CD446B" w:rsidRDefault="004521BA">
      <w:pPr>
        <w:pStyle w:val="Titre1"/>
        <w:pBdr>
          <w:bottom w:val="single" w:sz="12" w:space="4" w:color="C55A11"/>
        </w:pBdr>
      </w:pPr>
      <w:r>
        <w:t>1. Un phénomène global aux causes multiples</w:t>
      </w:r>
    </w:p>
    <w:p w:rsidR="00CD446B" w:rsidRDefault="004521BA">
      <w:pPr>
        <w:pStyle w:val="Titre2"/>
      </w:pPr>
      <w:r>
        <w:t>1.1 La nouvelle géographie des méga-feux</w:t>
      </w:r>
    </w:p>
    <w:p w:rsidR="00CD446B" w:rsidRDefault="004521BA">
      <w:pPr>
        <w:spacing w:after="120" w:line="276" w:lineRule="auto"/>
        <w:jc w:val="both"/>
      </w:pPr>
      <w:r>
        <w:rPr>
          <w:color w:val="000000"/>
        </w:rPr>
        <w:t>Pendant plusieurs décennies, les grands incendies étaient associés à des biomes spécifiques : zone méditerranéenne (bassin mé</w:t>
      </w:r>
      <w:r>
        <w:rPr>
          <w:color w:val="000000"/>
        </w:rPr>
        <w:t>diterranéen, Californie, Australie sud-orientale), forêts boréales circumpolaires (Canada, Russie). Cette géographie est désormais dépassée.</w:t>
      </w:r>
    </w:p>
    <w:p w:rsidR="00CD446B" w:rsidRDefault="00CD446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D446B">
        <w:tblPrEx>
          <w:tblCellMar>
            <w:top w:w="0" w:type="dxa"/>
            <w:bottom w:w="0" w:type="dxa"/>
          </w:tblCellMar>
        </w:tblPrEx>
        <w:tc>
          <w:tcPr>
            <w:tcW w:w="9200" w:type="dxa"/>
            <w:shd w:val="clear" w:color="auto" w:fill="F2F2F2"/>
            <w:tcMar>
              <w:top w:w="140" w:type="dxa"/>
              <w:left w:w="220" w:type="dxa"/>
              <w:bottom w:w="140" w:type="dxa"/>
              <w:right w:w="220" w:type="dxa"/>
            </w:tcMar>
          </w:tcPr>
          <w:p w:rsidR="00CD446B" w:rsidRDefault="004521BA">
            <w:pPr>
              <w:spacing w:after="80" w:line="260" w:lineRule="auto"/>
              <w:ind w:left="144" w:right="144"/>
              <w:jc w:val="both"/>
            </w:pPr>
            <w:r>
              <w:rPr>
                <w:b/>
                <w:bCs/>
                <w:color w:val="1F3864"/>
                <w:sz w:val="21"/>
                <w:szCs w:val="21"/>
              </w:rPr>
              <w:t>Quelques marqueurs récents :</w:t>
            </w:r>
          </w:p>
          <w:p w:rsidR="00CD446B" w:rsidRDefault="004521BA">
            <w:pPr>
              <w:spacing w:after="80" w:line="260" w:lineRule="auto"/>
              <w:ind w:left="144" w:right="144"/>
              <w:jc w:val="both"/>
            </w:pPr>
            <w:r>
              <w:rPr>
                <w:color w:val="595959"/>
                <w:sz w:val="21"/>
                <w:szCs w:val="21"/>
              </w:rPr>
              <w:t>— Grèce et Portugal : saisons 2021–2023, plusieurs centaines de milliers d'hectares brûlés en quelques jours.</w:t>
            </w:r>
          </w:p>
          <w:p w:rsidR="00CD446B" w:rsidRDefault="004521BA">
            <w:pPr>
              <w:spacing w:after="80" w:line="260" w:lineRule="auto"/>
              <w:ind w:left="144" w:right="144"/>
              <w:jc w:val="both"/>
            </w:pPr>
            <w:r>
              <w:rPr>
                <w:color w:val="595959"/>
                <w:sz w:val="21"/>
                <w:szCs w:val="21"/>
              </w:rPr>
              <w:t>— Canada (Colombie-Britannique, Alberta) : saison 2023, plus de 18 millions d'hectares brûlés — record absolu.</w:t>
            </w:r>
          </w:p>
          <w:p w:rsidR="00CD446B" w:rsidRDefault="004521BA">
            <w:pPr>
              <w:spacing w:after="80" w:line="260" w:lineRule="auto"/>
              <w:ind w:left="144" w:right="144"/>
              <w:jc w:val="both"/>
            </w:pPr>
            <w:r>
              <w:rPr>
                <w:color w:val="595959"/>
                <w:sz w:val="21"/>
                <w:szCs w:val="21"/>
              </w:rPr>
              <w:t>— Norvège et Suède : incendies inha</w:t>
            </w:r>
            <w:r>
              <w:rPr>
                <w:color w:val="595959"/>
                <w:sz w:val="21"/>
                <w:szCs w:val="21"/>
              </w:rPr>
              <w:t>bituels dans des forêts boréales humides, printemps 2024.</w:t>
            </w:r>
          </w:p>
          <w:p w:rsidR="00CD446B" w:rsidRDefault="004521BA">
            <w:pPr>
              <w:spacing w:after="80" w:line="260" w:lineRule="auto"/>
              <w:ind w:left="144" w:right="144"/>
              <w:jc w:val="both"/>
            </w:pPr>
            <w:r>
              <w:rPr>
                <w:color w:val="595959"/>
                <w:sz w:val="21"/>
                <w:szCs w:val="21"/>
              </w:rPr>
              <w:t>— Écosse : plusieurs épisodes sur des landes traditionnellement inaccessibles au feu.</w:t>
            </w:r>
          </w:p>
          <w:p w:rsidR="00CD446B" w:rsidRDefault="004521BA">
            <w:pPr>
              <w:spacing w:after="80" w:line="260" w:lineRule="auto"/>
              <w:ind w:left="144" w:right="144"/>
              <w:jc w:val="both"/>
            </w:pPr>
            <w:r>
              <w:rPr>
                <w:color w:val="595959"/>
                <w:sz w:val="21"/>
                <w:szCs w:val="21"/>
              </w:rPr>
              <w:t>— Chili central : feux de forêt en janvier 2024, plus de 130 morts — phénomène exceptionnel pour la région.</w:t>
            </w:r>
          </w:p>
        </w:tc>
      </w:tr>
    </w:tbl>
    <w:p w:rsidR="00CD446B" w:rsidRDefault="00CD446B">
      <w:pPr>
        <w:spacing w:after="80"/>
      </w:pPr>
    </w:p>
    <w:p w:rsidR="00CD446B" w:rsidRDefault="004521BA">
      <w:pPr>
        <w:spacing w:after="120" w:line="276" w:lineRule="auto"/>
        <w:jc w:val="both"/>
      </w:pPr>
      <w:r>
        <w:rPr>
          <w:color w:val="000000"/>
        </w:rPr>
        <w:t>Ce</w:t>
      </w:r>
      <w:r>
        <w:rPr>
          <w:color w:val="000000"/>
        </w:rPr>
        <w:t xml:space="preserve"> que ces événements ont en commun : ils surviennent dans des régions où la probabilité historique d'un méga-feu était faible, et ils surprennent des systèmes de prévention dimensionnés pour un risque moindre.</w:t>
      </w:r>
    </w:p>
    <w:p w:rsidR="00CD446B" w:rsidRDefault="004521BA">
      <w:pPr>
        <w:pStyle w:val="Titre2"/>
      </w:pPr>
      <w:r>
        <w:t xml:space="preserve">1.2 Le triangle du feu : facteurs maîtrisables </w:t>
      </w:r>
      <w:r>
        <w:t>et non maîtrisables</w:t>
      </w:r>
    </w:p>
    <w:p w:rsidR="00CD446B" w:rsidRDefault="004521BA">
      <w:pPr>
        <w:spacing w:after="120" w:line="276" w:lineRule="auto"/>
        <w:jc w:val="both"/>
      </w:pPr>
      <w:r>
        <w:rPr>
          <w:color w:val="000000"/>
        </w:rPr>
        <w:t>Tout incendie résulte de la combinaison de trois éléments : un combustible, un comburant (l'oxygène de l'air) et une source d'ignition. Un épisode météorologique extrême n'engendre un méga-feu que s'il rencontre une charge de combustibl</w:t>
      </w:r>
      <w:r>
        <w:rPr>
          <w:color w:val="000000"/>
        </w:rPr>
        <w:t>e suffisante. C'est cette réalité physique fondamentale qui structure la distinction suivante, déterminante pour l'action publique :</w:t>
      </w:r>
    </w:p>
    <w:p w:rsidR="00CD446B" w:rsidRDefault="00CD446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CD446B">
        <w:tblPrEx>
          <w:tblCellMar>
            <w:top w:w="0" w:type="dxa"/>
            <w:bottom w:w="0" w:type="dxa"/>
          </w:tblCellMar>
        </w:tblPrEx>
        <w:tc>
          <w:tcPr>
            <w:tcW w:w="4600" w:type="dxa"/>
            <w:shd w:val="clear" w:color="auto" w:fill="1F3864"/>
            <w:tcMar>
              <w:top w:w="100" w:type="dxa"/>
              <w:left w:w="160" w:type="dxa"/>
              <w:bottom w:w="100" w:type="dxa"/>
              <w:right w:w="160" w:type="dxa"/>
            </w:tcMar>
          </w:tcPr>
          <w:p w:rsidR="00CD446B" w:rsidRDefault="004521BA">
            <w:pPr>
              <w:jc w:val="center"/>
            </w:pPr>
            <w:r>
              <w:rPr>
                <w:b/>
                <w:bCs/>
                <w:color w:val="FFFFFF"/>
              </w:rPr>
              <w:t>Facteurs NON maîtrisables</w:t>
            </w:r>
          </w:p>
        </w:tc>
        <w:tc>
          <w:tcPr>
            <w:tcW w:w="4600" w:type="dxa"/>
            <w:shd w:val="clear" w:color="auto" w:fill="1F6B3C"/>
            <w:tcMar>
              <w:top w:w="100" w:type="dxa"/>
              <w:left w:w="160" w:type="dxa"/>
              <w:bottom w:w="100" w:type="dxa"/>
              <w:right w:w="160" w:type="dxa"/>
            </w:tcMar>
          </w:tcPr>
          <w:p w:rsidR="00CD446B" w:rsidRDefault="004521BA">
            <w:pPr>
              <w:jc w:val="center"/>
            </w:pPr>
            <w:r>
              <w:rPr>
                <w:b/>
                <w:bCs/>
                <w:color w:val="FFFFFF"/>
              </w:rPr>
              <w:t>Facteurs MAÎTRISABLES</w:t>
            </w:r>
          </w:p>
        </w:tc>
      </w:tr>
      <w:tr w:rsidR="00CD446B">
        <w:tblPrEx>
          <w:tblCellMar>
            <w:top w:w="0" w:type="dxa"/>
            <w:bottom w:w="0" w:type="dxa"/>
          </w:tblCellMar>
        </w:tblPrEx>
        <w:tc>
          <w:tcPr>
            <w:tcW w:w="4600" w:type="dxa"/>
            <w:shd w:val="clear" w:color="auto" w:fill="DCE6F1"/>
            <w:tcMar>
              <w:top w:w="80" w:type="dxa"/>
              <w:left w:w="160" w:type="dxa"/>
              <w:bottom w:w="80" w:type="dxa"/>
              <w:right w:w="160" w:type="dxa"/>
            </w:tcMar>
          </w:tcPr>
          <w:p w:rsidR="00CD446B" w:rsidRDefault="004521BA">
            <w:r>
              <w:rPr>
                <w:color w:val="000000"/>
                <w:sz w:val="20"/>
                <w:szCs w:val="20"/>
              </w:rPr>
              <w:t>Chaleur extrême et vagues de chaleur</w:t>
            </w:r>
          </w:p>
        </w:tc>
        <w:tc>
          <w:tcPr>
            <w:tcW w:w="4600" w:type="dxa"/>
            <w:shd w:val="clear" w:color="auto" w:fill="E2EFDA"/>
            <w:tcMar>
              <w:top w:w="80" w:type="dxa"/>
              <w:left w:w="160" w:type="dxa"/>
              <w:bottom w:w="80" w:type="dxa"/>
              <w:right w:w="160" w:type="dxa"/>
            </w:tcMar>
          </w:tcPr>
          <w:p w:rsidR="00CD446B" w:rsidRDefault="004521BA">
            <w:r>
              <w:rPr>
                <w:color w:val="000000"/>
                <w:sz w:val="20"/>
                <w:szCs w:val="20"/>
              </w:rPr>
              <w:t>Accumulation de biomasse sur pied</w:t>
            </w:r>
          </w:p>
        </w:tc>
      </w:tr>
      <w:tr w:rsidR="00CD446B">
        <w:tblPrEx>
          <w:tblCellMar>
            <w:top w:w="0" w:type="dxa"/>
            <w:bottom w:w="0" w:type="dxa"/>
          </w:tblCellMar>
        </w:tblPrEx>
        <w:tc>
          <w:tcPr>
            <w:tcW w:w="4600" w:type="dxa"/>
            <w:shd w:val="clear" w:color="auto" w:fill="EAF0F9"/>
            <w:tcMar>
              <w:top w:w="80" w:type="dxa"/>
              <w:left w:w="160" w:type="dxa"/>
              <w:bottom w:w="80" w:type="dxa"/>
              <w:right w:w="160" w:type="dxa"/>
            </w:tcMar>
          </w:tcPr>
          <w:p w:rsidR="00CD446B" w:rsidRDefault="004521BA">
            <w:r>
              <w:rPr>
                <w:color w:val="000000"/>
                <w:sz w:val="20"/>
                <w:szCs w:val="20"/>
              </w:rPr>
              <w:lastRenderedPageBreak/>
              <w:t>Sécheresse météorologique</w:t>
            </w:r>
          </w:p>
        </w:tc>
        <w:tc>
          <w:tcPr>
            <w:tcW w:w="4600" w:type="dxa"/>
            <w:shd w:val="clear" w:color="auto" w:fill="EDF5E7"/>
            <w:tcMar>
              <w:top w:w="80" w:type="dxa"/>
              <w:left w:w="160" w:type="dxa"/>
              <w:bottom w:w="80" w:type="dxa"/>
              <w:right w:w="160" w:type="dxa"/>
            </w:tcMar>
          </w:tcPr>
          <w:p w:rsidR="00CD446B" w:rsidRDefault="004521BA">
            <w:r>
              <w:rPr>
                <w:color w:val="000000"/>
                <w:sz w:val="20"/>
                <w:szCs w:val="20"/>
              </w:rPr>
              <w:t>Continuité du combustible (absence de coupures)</w:t>
            </w:r>
          </w:p>
        </w:tc>
      </w:tr>
      <w:tr w:rsidR="00CD446B">
        <w:tblPrEx>
          <w:tblCellMar>
            <w:top w:w="0" w:type="dxa"/>
            <w:bottom w:w="0" w:type="dxa"/>
          </w:tblCellMar>
        </w:tblPrEx>
        <w:tc>
          <w:tcPr>
            <w:tcW w:w="4600" w:type="dxa"/>
            <w:shd w:val="clear" w:color="auto" w:fill="DCE6F1"/>
            <w:tcMar>
              <w:top w:w="80" w:type="dxa"/>
              <w:left w:w="160" w:type="dxa"/>
              <w:bottom w:w="80" w:type="dxa"/>
              <w:right w:w="160" w:type="dxa"/>
            </w:tcMar>
          </w:tcPr>
          <w:p w:rsidR="00CD446B" w:rsidRDefault="004521BA">
            <w:r>
              <w:rPr>
                <w:color w:val="000000"/>
                <w:sz w:val="20"/>
                <w:szCs w:val="20"/>
              </w:rPr>
              <w:t xml:space="preserve">Vent (mistral, tramontane, föhn, </w:t>
            </w:r>
            <w:proofErr w:type="spellStart"/>
            <w:r>
              <w:rPr>
                <w:color w:val="000000"/>
                <w:sz w:val="20"/>
                <w:szCs w:val="20"/>
              </w:rPr>
              <w:t>diablo</w:t>
            </w:r>
            <w:proofErr w:type="spellEnd"/>
            <w:r>
              <w:rPr>
                <w:color w:val="000000"/>
                <w:sz w:val="20"/>
                <w:szCs w:val="20"/>
              </w:rPr>
              <w:t>…)</w:t>
            </w:r>
          </w:p>
        </w:tc>
        <w:tc>
          <w:tcPr>
            <w:tcW w:w="4600" w:type="dxa"/>
            <w:shd w:val="clear" w:color="auto" w:fill="E2EFDA"/>
            <w:tcMar>
              <w:top w:w="80" w:type="dxa"/>
              <w:left w:w="160" w:type="dxa"/>
              <w:bottom w:w="80" w:type="dxa"/>
              <w:right w:w="160" w:type="dxa"/>
            </w:tcMar>
          </w:tcPr>
          <w:p w:rsidR="00CD446B" w:rsidRDefault="004521BA">
            <w:r>
              <w:rPr>
                <w:color w:val="000000"/>
                <w:sz w:val="20"/>
                <w:szCs w:val="20"/>
              </w:rPr>
              <w:t>Espèces végétales invasives à biomasse dense</w:t>
            </w:r>
          </w:p>
        </w:tc>
      </w:tr>
      <w:tr w:rsidR="00CD446B">
        <w:tblPrEx>
          <w:tblCellMar>
            <w:top w:w="0" w:type="dxa"/>
            <w:bottom w:w="0" w:type="dxa"/>
          </w:tblCellMar>
        </w:tblPrEx>
        <w:tc>
          <w:tcPr>
            <w:tcW w:w="4600" w:type="dxa"/>
            <w:shd w:val="clear" w:color="auto" w:fill="EAF0F9"/>
            <w:tcMar>
              <w:top w:w="80" w:type="dxa"/>
              <w:left w:w="160" w:type="dxa"/>
              <w:bottom w:w="80" w:type="dxa"/>
              <w:right w:w="160" w:type="dxa"/>
            </w:tcMar>
          </w:tcPr>
          <w:p w:rsidR="00CD446B" w:rsidRDefault="004521BA">
            <w:r>
              <w:rPr>
                <w:color w:val="000000"/>
                <w:sz w:val="20"/>
                <w:szCs w:val="20"/>
              </w:rPr>
              <w:t>Faible humidité relative de l'air</w:t>
            </w:r>
          </w:p>
        </w:tc>
        <w:tc>
          <w:tcPr>
            <w:tcW w:w="4600" w:type="dxa"/>
            <w:shd w:val="clear" w:color="auto" w:fill="EDF5E7"/>
            <w:tcMar>
              <w:top w:w="80" w:type="dxa"/>
              <w:left w:w="160" w:type="dxa"/>
              <w:bottom w:w="80" w:type="dxa"/>
              <w:right w:w="160" w:type="dxa"/>
            </w:tcMar>
          </w:tcPr>
          <w:p w:rsidR="00CD446B" w:rsidRDefault="004521BA">
            <w:r>
              <w:rPr>
                <w:color w:val="000000"/>
                <w:sz w:val="20"/>
                <w:szCs w:val="20"/>
              </w:rPr>
              <w:t>Déprise agricole et abandon du pastoralisme</w:t>
            </w:r>
          </w:p>
        </w:tc>
      </w:tr>
      <w:tr w:rsidR="00CD446B">
        <w:tblPrEx>
          <w:tblCellMar>
            <w:top w:w="0" w:type="dxa"/>
            <w:bottom w:w="0" w:type="dxa"/>
          </w:tblCellMar>
        </w:tblPrEx>
        <w:tc>
          <w:tcPr>
            <w:tcW w:w="4600" w:type="dxa"/>
            <w:shd w:val="clear" w:color="auto" w:fill="DCE6F1"/>
            <w:tcMar>
              <w:top w:w="80" w:type="dxa"/>
              <w:left w:w="160" w:type="dxa"/>
              <w:bottom w:w="80" w:type="dxa"/>
              <w:right w:w="160" w:type="dxa"/>
            </w:tcMar>
          </w:tcPr>
          <w:p w:rsidR="00CD446B" w:rsidRDefault="004521BA">
            <w:r>
              <w:rPr>
                <w:color w:val="000000"/>
                <w:sz w:val="20"/>
                <w:szCs w:val="20"/>
              </w:rPr>
              <w:t>Foudre sèche (orages sans précipitation)</w:t>
            </w:r>
          </w:p>
        </w:tc>
        <w:tc>
          <w:tcPr>
            <w:tcW w:w="4600" w:type="dxa"/>
            <w:shd w:val="clear" w:color="auto" w:fill="E2EFDA"/>
            <w:tcMar>
              <w:top w:w="80" w:type="dxa"/>
              <w:left w:w="160" w:type="dxa"/>
              <w:bottom w:w="80" w:type="dxa"/>
              <w:right w:w="160" w:type="dxa"/>
            </w:tcMar>
          </w:tcPr>
          <w:p w:rsidR="00CD446B" w:rsidRDefault="004521BA">
            <w:r>
              <w:rPr>
                <w:color w:val="000000"/>
                <w:sz w:val="20"/>
                <w:szCs w:val="20"/>
              </w:rPr>
              <w:t>Ignitions d'origine humaine (lignes HT, engins)</w:t>
            </w:r>
          </w:p>
        </w:tc>
      </w:tr>
      <w:tr w:rsidR="00CD446B">
        <w:tblPrEx>
          <w:tblCellMar>
            <w:top w:w="0" w:type="dxa"/>
            <w:bottom w:w="0" w:type="dxa"/>
          </w:tblCellMar>
        </w:tblPrEx>
        <w:tc>
          <w:tcPr>
            <w:tcW w:w="4600" w:type="dxa"/>
            <w:shd w:val="clear" w:color="auto" w:fill="EAF0F9"/>
            <w:tcMar>
              <w:top w:w="80" w:type="dxa"/>
              <w:left w:w="160" w:type="dxa"/>
              <w:bottom w:w="80" w:type="dxa"/>
              <w:right w:w="160" w:type="dxa"/>
            </w:tcMar>
          </w:tcPr>
          <w:p w:rsidR="00CD446B" w:rsidRDefault="004521BA">
            <w:proofErr w:type="spellStart"/>
            <w:r>
              <w:rPr>
                <w:color w:val="000000"/>
                <w:sz w:val="20"/>
                <w:szCs w:val="20"/>
              </w:rPr>
              <w:t>Pyroconvection</w:t>
            </w:r>
            <w:proofErr w:type="spellEnd"/>
            <w:r>
              <w:rPr>
                <w:color w:val="000000"/>
                <w:sz w:val="20"/>
                <w:szCs w:val="20"/>
              </w:rPr>
              <w:t xml:space="preserve"> (feu créant </w:t>
            </w:r>
            <w:proofErr w:type="gramStart"/>
            <w:r>
              <w:rPr>
                <w:color w:val="000000"/>
                <w:sz w:val="20"/>
                <w:szCs w:val="20"/>
              </w:rPr>
              <w:t>sa</w:t>
            </w:r>
            <w:proofErr w:type="gramEnd"/>
            <w:r>
              <w:rPr>
                <w:color w:val="000000"/>
                <w:sz w:val="20"/>
                <w:szCs w:val="20"/>
              </w:rPr>
              <w:t xml:space="preserve"> propre météo)</w:t>
            </w:r>
          </w:p>
        </w:tc>
        <w:tc>
          <w:tcPr>
            <w:tcW w:w="4600" w:type="dxa"/>
            <w:shd w:val="clear" w:color="auto" w:fill="EDF5E7"/>
            <w:tcMar>
              <w:top w:w="80" w:type="dxa"/>
              <w:left w:w="160" w:type="dxa"/>
              <w:bottom w:w="80" w:type="dxa"/>
              <w:right w:w="160" w:type="dxa"/>
            </w:tcMar>
          </w:tcPr>
          <w:p w:rsidR="00CD446B" w:rsidRDefault="004521BA">
            <w:r>
              <w:rPr>
                <w:color w:val="000000"/>
                <w:sz w:val="20"/>
                <w:szCs w:val="20"/>
              </w:rPr>
              <w:t>Interface forêt-ville mal maîtrisée (urbanisme)</w:t>
            </w:r>
          </w:p>
        </w:tc>
      </w:tr>
    </w:tbl>
    <w:p w:rsidR="00CD446B" w:rsidRDefault="00CD446B">
      <w:pPr>
        <w:spacing w:after="80"/>
      </w:pPr>
    </w:p>
    <w:p w:rsidR="00CD446B" w:rsidRDefault="004521BA">
      <w:pPr>
        <w:spacing w:after="120" w:line="276" w:lineRule="auto"/>
        <w:jc w:val="both"/>
      </w:pPr>
      <w:r>
        <w:rPr>
          <w:b/>
          <w:bCs/>
          <w:i/>
          <w:iCs/>
          <w:color w:val="000000"/>
        </w:rPr>
        <w:t>On ne choisit pas ses journées à risque — mais on peut agir sur le combustible disponible ces jours-là.</w:t>
      </w:r>
      <w:r>
        <w:rPr>
          <w:color w:val="000000"/>
        </w:rPr>
        <w:t xml:space="preserve"> C'est sur cette distinction que repose toute politique structurelle de prévention.</w:t>
      </w:r>
    </w:p>
    <w:p w:rsidR="00CD446B" w:rsidRDefault="00CD446B">
      <w:pPr>
        <w:spacing w:after="80"/>
      </w:pPr>
    </w:p>
    <w:p w:rsidR="00CD446B" w:rsidRDefault="004521BA">
      <w:pPr>
        <w:pStyle w:val="Titre2"/>
      </w:pPr>
      <w:r>
        <w:t xml:space="preserve">1.3 La </w:t>
      </w:r>
      <w:proofErr w:type="spellStart"/>
      <w:r>
        <w:t>pyroconvection</w:t>
      </w:r>
      <w:proofErr w:type="spellEnd"/>
      <w:r>
        <w:t xml:space="preserve"> : quand le feu crée sa propre météo</w:t>
      </w:r>
    </w:p>
    <w:p w:rsidR="00CD446B" w:rsidRDefault="004521BA">
      <w:pPr>
        <w:spacing w:after="120" w:line="276" w:lineRule="auto"/>
        <w:jc w:val="both"/>
      </w:pPr>
      <w:r>
        <w:rPr>
          <w:color w:val="000000"/>
        </w:rPr>
        <w:t>Au-delà d'</w:t>
      </w:r>
      <w:r>
        <w:rPr>
          <w:color w:val="000000"/>
        </w:rPr>
        <w:t>un certain seuil d'intensité, un méga-feu génère ses propres conditions météorologiques : colonnes convectives montant à plusieurs kilomètres, vents convergents vers le foyer atteignant 100 km/h, projections de braises à 20–30 km en avant du front, formati</w:t>
      </w:r>
      <w:r>
        <w:rPr>
          <w:color w:val="000000"/>
        </w:rPr>
        <w:t xml:space="preserve">on de </w:t>
      </w:r>
      <w:proofErr w:type="spellStart"/>
      <w:r>
        <w:rPr>
          <w:color w:val="000000"/>
        </w:rPr>
        <w:t>pyrocumulonimbus</w:t>
      </w:r>
      <w:proofErr w:type="spellEnd"/>
      <w:r>
        <w:rPr>
          <w:color w:val="000000"/>
        </w:rPr>
        <w:t xml:space="preserve"> injectant des fumées dans la stratosphère.</w:t>
      </w:r>
    </w:p>
    <w:p w:rsidR="00CD446B" w:rsidRDefault="004521BA">
      <w:pPr>
        <w:spacing w:after="120" w:line="276" w:lineRule="auto"/>
        <w:jc w:val="both"/>
      </w:pPr>
      <w:r>
        <w:rPr>
          <w:color w:val="000000"/>
        </w:rPr>
        <w:t xml:space="preserve">Lorsque la </w:t>
      </w:r>
      <w:proofErr w:type="spellStart"/>
      <w:r>
        <w:rPr>
          <w:color w:val="000000"/>
        </w:rPr>
        <w:t>pyroconvection</w:t>
      </w:r>
      <w:proofErr w:type="spellEnd"/>
      <w:r>
        <w:rPr>
          <w:color w:val="000000"/>
        </w:rPr>
        <w:t xml:space="preserve"> est installée, le feu cesse pratiquement d'être piloté par la météorologie régionale : il crée sa propre dynamique atmosphérique. À ce stade, les moyens de lutte co</w:t>
      </w:r>
      <w:r>
        <w:rPr>
          <w:color w:val="000000"/>
        </w:rPr>
        <w:t>nventionnels deviennent inopérants — le feu ne peut plus être combattu, il peut seulement être contenu aux marges. Cela confirme que la prévention en amont est la seule réponse structurellement efficace.</w:t>
      </w:r>
    </w:p>
    <w:p w:rsidR="00CD446B" w:rsidRDefault="00CD446B">
      <w:pPr>
        <w:spacing w:after="80"/>
      </w:pPr>
    </w:p>
    <w:p w:rsidR="00CD446B" w:rsidRDefault="004521BA">
      <w:pPr>
        <w:pStyle w:val="Titre1"/>
        <w:pBdr>
          <w:bottom w:val="single" w:sz="12" w:space="4" w:color="C55A11"/>
        </w:pBdr>
      </w:pPr>
      <w:r>
        <w:t>2. Ce que le discours public occulte</w:t>
      </w:r>
    </w:p>
    <w:p w:rsidR="00CD446B" w:rsidRDefault="004521BA">
      <w:pPr>
        <w:pStyle w:val="Titre2"/>
      </w:pPr>
      <w:r>
        <w:t>2.1 Un biais d</w:t>
      </w:r>
      <w:r>
        <w:t>e cadrage systématique</w:t>
      </w:r>
    </w:p>
    <w:p w:rsidR="00CD446B" w:rsidRDefault="004521BA">
      <w:pPr>
        <w:spacing w:after="120" w:line="276" w:lineRule="auto"/>
        <w:jc w:val="both"/>
      </w:pPr>
      <w:r>
        <w:rPr>
          <w:color w:val="000000"/>
        </w:rPr>
        <w:t>L'analyse des communications officielles lors des grands incendies fait apparaître un biais constant : les variables météorologiques (chaleur, vent, sécheresse) et les moyens de lutte (avions bombardiers d'eau, effectifs, budget) mon</w:t>
      </w:r>
      <w:r>
        <w:rPr>
          <w:color w:val="000000"/>
        </w:rPr>
        <w:t>opolisent l'espace public. La biomasse combustible — son accumulation, sa continuité, sa densité — est structurellement absente du débat.</w:t>
      </w:r>
    </w:p>
    <w:p w:rsidR="00CD446B" w:rsidRDefault="004521BA">
      <w:pPr>
        <w:spacing w:after="120" w:line="276" w:lineRule="auto"/>
        <w:jc w:val="both"/>
      </w:pPr>
      <w:r>
        <w:rPr>
          <w:color w:val="000000"/>
        </w:rPr>
        <w:t>Ce biais conduit à privilégier les politiques de suppression au détriment de la prévention structurelle. La prévention</w:t>
      </w:r>
      <w:r>
        <w:rPr>
          <w:color w:val="000000"/>
        </w:rPr>
        <w:t xml:space="preserve"> des incendies ne doit plus être considérée comme un coût mais comme la première étape d'une chaîne de valeur énergétique et environnementale. Chaque euro investi dans la réduction préventive du combustible agit avant l'incendie ; chaque euro investi dans </w:t>
      </w:r>
      <w:r>
        <w:rPr>
          <w:color w:val="000000"/>
        </w:rPr>
        <w:t>les moyens de lutte agit après son déclenchement. Les deux sont nécessaires, mais leur rendement n'est pas le même.</w:t>
      </w:r>
    </w:p>
    <w:p w:rsidR="00CD446B" w:rsidRDefault="004521BA">
      <w:pPr>
        <w:pStyle w:val="Titre2"/>
      </w:pPr>
      <w:r>
        <w:t>2.2 Les mécanismes d'accumulation du combustible</w:t>
      </w:r>
    </w:p>
    <w:p w:rsidR="00CD446B" w:rsidRDefault="004521BA">
      <w:pPr>
        <w:spacing w:after="120" w:line="276" w:lineRule="auto"/>
        <w:jc w:val="both"/>
      </w:pPr>
      <w:r>
        <w:rPr>
          <w:color w:val="000000"/>
        </w:rPr>
        <w:t>Trois dynamiques de long terme ont considérablement augmenté la charge en combustible des f</w:t>
      </w:r>
      <w:r>
        <w:rPr>
          <w:color w:val="000000"/>
        </w:rPr>
        <w:t xml:space="preserve">orêts dans la plupart des pays développés. Plusieurs travaux </w:t>
      </w:r>
      <w:proofErr w:type="gramStart"/>
      <w:r>
        <w:rPr>
          <w:color w:val="000000"/>
        </w:rPr>
        <w:t>du USDA</w:t>
      </w:r>
      <w:proofErr w:type="gramEnd"/>
      <w:r>
        <w:rPr>
          <w:color w:val="000000"/>
        </w:rPr>
        <w:t xml:space="preserve"> Forest Service montrent que plusieurs décennies de suppression systématique des feux de faible intensité ont contribué à accroître les charges de combustible dans de nombreux écosystèmes </w:t>
      </w:r>
      <w:r>
        <w:rPr>
          <w:color w:val="000000"/>
        </w:rPr>
        <w:t>forestiers, augmentant ainsi le risque de feux extrêmes.</w:t>
      </w:r>
    </w:p>
    <w:p w:rsidR="00CD446B" w:rsidRDefault="004521BA">
      <w:pPr>
        <w:pStyle w:val="Paragraphedeliste"/>
        <w:numPr>
          <w:ilvl w:val="0"/>
          <w:numId w:val="1"/>
        </w:numPr>
        <w:spacing w:after="100" w:line="276" w:lineRule="auto"/>
        <w:jc w:val="both"/>
      </w:pPr>
      <w:r>
        <w:rPr>
          <w:b/>
          <w:bCs/>
          <w:color w:val="000000"/>
        </w:rPr>
        <w:t xml:space="preserve">Politique zéro-feu. </w:t>
      </w:r>
      <w:r>
        <w:rPr>
          <w:color w:val="000000"/>
        </w:rPr>
        <w:t>En cherchant à éteindre tous les feux dès leur départ, les gestionnaires forestiers ont supprimé les incendies naturels de faible intensité qui déchargeaient historiquement les fo</w:t>
      </w:r>
      <w:r>
        <w:rPr>
          <w:color w:val="000000"/>
        </w:rPr>
        <w:t>rêts de leur biomasse. Le résultat est une accumulation massive sans équivalent dans les siècles précédents.</w:t>
      </w:r>
    </w:p>
    <w:p w:rsidR="00CD446B" w:rsidRDefault="004521BA">
      <w:pPr>
        <w:pStyle w:val="Paragraphedeliste"/>
        <w:numPr>
          <w:ilvl w:val="0"/>
          <w:numId w:val="1"/>
        </w:numPr>
        <w:spacing w:after="100" w:line="276" w:lineRule="auto"/>
        <w:jc w:val="both"/>
      </w:pPr>
      <w:r>
        <w:rPr>
          <w:b/>
          <w:bCs/>
          <w:color w:val="000000"/>
        </w:rPr>
        <w:lastRenderedPageBreak/>
        <w:t xml:space="preserve">Déprise agricole et pastorale. </w:t>
      </w:r>
      <w:r>
        <w:rPr>
          <w:color w:val="000000"/>
        </w:rPr>
        <w:t>Le recul de l'élevage extensif a entraîné la colonisation de vastes espaces par une végétation spontanée dense et no</w:t>
      </w:r>
      <w:r>
        <w:rPr>
          <w:color w:val="000000"/>
        </w:rPr>
        <w:t>n entretenue. En France, plusieurs millions d'hectares agricoles ont été abandonnés depuis 1950.</w:t>
      </w:r>
    </w:p>
    <w:p w:rsidR="00CD446B" w:rsidRDefault="004521BA">
      <w:pPr>
        <w:pStyle w:val="Paragraphedeliste"/>
        <w:numPr>
          <w:ilvl w:val="0"/>
          <w:numId w:val="1"/>
        </w:numPr>
        <w:spacing w:after="100" w:line="276" w:lineRule="auto"/>
        <w:jc w:val="both"/>
      </w:pPr>
      <w:r>
        <w:rPr>
          <w:b/>
          <w:bCs/>
          <w:color w:val="000000"/>
        </w:rPr>
        <w:t xml:space="preserve">Dépérissement forestier. </w:t>
      </w:r>
      <w:r>
        <w:rPr>
          <w:color w:val="000000"/>
        </w:rPr>
        <w:t>Les stress hydriques répétés, conjugués à des agents pathogènes (scolytes, champignons), produisent du bois mort sur pied en grandes q</w:t>
      </w:r>
      <w:r>
        <w:rPr>
          <w:color w:val="000000"/>
        </w:rPr>
        <w:t>uantités — combustible particulièrement sec et inflammable.</w:t>
      </w:r>
    </w:p>
    <w:p w:rsidR="00CD446B" w:rsidRDefault="00CD446B">
      <w:pPr>
        <w:spacing w:after="80"/>
      </w:pPr>
    </w:p>
    <w:p w:rsidR="00CD446B" w:rsidRDefault="004521BA">
      <w:pPr>
        <w:pStyle w:val="Titre1"/>
        <w:pBdr>
          <w:bottom w:val="single" w:sz="12" w:space="4" w:color="C55A11"/>
        </w:pBdr>
      </w:pPr>
      <w:r>
        <w:t>3. Préconisations structurelles</w:t>
      </w:r>
    </w:p>
    <w:p w:rsidR="00CD446B" w:rsidRDefault="004521BA">
      <w:pPr>
        <w:pStyle w:val="Titre2"/>
      </w:pPr>
      <w:r>
        <w:t>3.1 Rééquilibrer la dépense publique : de la suppression vers la prévention</w:t>
      </w:r>
    </w:p>
    <w:p w:rsidR="00CD446B" w:rsidRDefault="004521BA">
      <w:pPr>
        <w:spacing w:after="120" w:line="276" w:lineRule="auto"/>
        <w:jc w:val="both"/>
      </w:pPr>
      <w:r>
        <w:rPr>
          <w:color w:val="000000"/>
        </w:rPr>
        <w:t>Dans la plupart des pays développés, les budgets de lutte contre les incendies dépassen</w:t>
      </w:r>
      <w:r>
        <w:rPr>
          <w:color w:val="000000"/>
        </w:rPr>
        <w:t xml:space="preserve">t de plusieurs ordres de grandeur les budgets de prévention structurelle — alors que l'efficacité marginale d'un Canadair supplémentaire en régime </w:t>
      </w:r>
      <w:proofErr w:type="spellStart"/>
      <w:r>
        <w:rPr>
          <w:color w:val="000000"/>
        </w:rPr>
        <w:t>pyroconvectif</w:t>
      </w:r>
      <w:proofErr w:type="spellEnd"/>
      <w:r>
        <w:rPr>
          <w:color w:val="000000"/>
        </w:rPr>
        <w:t xml:space="preserve"> est quasi nulle. À titre indicatif, le coût annuel d'un avion bombardier d'eau (3 à 5 M€/an en </w:t>
      </w:r>
      <w:r>
        <w:rPr>
          <w:color w:val="000000"/>
        </w:rPr>
        <w:t>opération) financerait plusieurs milliers d'hectares de débroussaillage préventif, avec un impact durable sur la réduction du risque structurel.</w:t>
      </w:r>
    </w:p>
    <w:p w:rsidR="00CD446B" w:rsidRDefault="004521BA">
      <w:pPr>
        <w:spacing w:after="120" w:line="276" w:lineRule="auto"/>
        <w:jc w:val="both"/>
      </w:pPr>
      <w:r>
        <w:rPr>
          <w:color w:val="000000"/>
        </w:rPr>
        <w:t>La préconisation centrale est de rééquilibrer ce ratio en finançant de manière pérenne les actions de gestion d</w:t>
      </w:r>
      <w:r>
        <w:rPr>
          <w:color w:val="000000"/>
        </w:rPr>
        <w:t>u combustible.</w:t>
      </w:r>
    </w:p>
    <w:p w:rsidR="00CD446B" w:rsidRDefault="004521BA">
      <w:pPr>
        <w:pStyle w:val="Titre2"/>
      </w:pPr>
      <w:r>
        <w:t>3.2 Restaurer le pastoralisme comme outil de débroussaillage vivant</w:t>
      </w:r>
    </w:p>
    <w:p w:rsidR="00CD446B" w:rsidRDefault="004521BA">
      <w:pPr>
        <w:spacing w:after="120" w:line="276" w:lineRule="auto"/>
        <w:jc w:val="both"/>
      </w:pPr>
      <w:r>
        <w:rPr>
          <w:color w:val="000000"/>
        </w:rPr>
        <w:t>L'élevage extensif — ovins, caprins, bovins rustiques — constitue le mode de gestion du combustible le plus économique et le plus résilient. Un troupeau de 500 brebis entret</w:t>
      </w:r>
      <w:r>
        <w:rPr>
          <w:color w:val="000000"/>
        </w:rPr>
        <w:t>ient naturellement plusieurs centaines d'hectares de garrigue ou de lande, créant des coupures efficaces et maintenant une mosaïque paysagère défavorable à la propagation des feux. Le soutien au pastoralisme en zone à risque doit être conçu comme une polit</w:t>
      </w:r>
      <w:r>
        <w:rPr>
          <w:color w:val="000000"/>
        </w:rPr>
        <w:t>ique de prévention incendie autant que comme une politique agricole.</w:t>
      </w:r>
    </w:p>
    <w:p w:rsidR="00CD446B" w:rsidRDefault="004521BA">
      <w:pPr>
        <w:pStyle w:val="Titre2"/>
      </w:pPr>
      <w:r>
        <w:t>3.3 Réviser l'urbanisme en zone à risque</w:t>
      </w:r>
    </w:p>
    <w:p w:rsidR="00CD446B" w:rsidRDefault="004521BA">
      <w:pPr>
        <w:spacing w:after="120" w:line="276" w:lineRule="auto"/>
        <w:jc w:val="both"/>
      </w:pPr>
      <w:r>
        <w:rPr>
          <w:color w:val="000000"/>
        </w:rPr>
        <w:t>L'interface forêt-ville (</w:t>
      </w:r>
      <w:proofErr w:type="spellStart"/>
      <w:r>
        <w:rPr>
          <w:color w:val="000000"/>
        </w:rPr>
        <w:t>Wildland-Urban</w:t>
      </w:r>
      <w:proofErr w:type="spellEnd"/>
      <w:r>
        <w:rPr>
          <w:color w:val="000000"/>
        </w:rPr>
        <w:t xml:space="preserve"> Interface, WUI) est devenue le principal vecteur de pertes humaines et de dommages économiques lors des in</w:t>
      </w:r>
      <w:r>
        <w:rPr>
          <w:color w:val="000000"/>
        </w:rPr>
        <w:t>cendies. Les préconisations sont : interdiction ou conditionnement strict des nouvelles constructions en zone forestière à risque élevé ; obligation de zones tampons débroussaillées autour des habitations existantes ; révision des normes de construction po</w:t>
      </w:r>
      <w:r>
        <w:rPr>
          <w:color w:val="000000"/>
        </w:rPr>
        <w:t>ur les matériaux extérieurs et toitures en zone WUI.</w:t>
      </w:r>
    </w:p>
    <w:p w:rsidR="00CD446B" w:rsidRDefault="004521BA">
      <w:pPr>
        <w:pStyle w:val="Titre2"/>
      </w:pPr>
      <w:r>
        <w:t>3.4 Sécuriser les ignitions d'origine humaine</w:t>
      </w:r>
    </w:p>
    <w:p w:rsidR="00CD446B" w:rsidRDefault="004521BA">
      <w:pPr>
        <w:spacing w:after="120" w:line="276" w:lineRule="auto"/>
        <w:jc w:val="both"/>
      </w:pPr>
      <w:r>
        <w:rPr>
          <w:color w:val="000000"/>
        </w:rPr>
        <w:t>Lignes électriques à haute tension en zone forestière (enterrement ou protection renforcée, coupures automatiques par vent fort), réglementation des engins en période à risque, surveillance des points d'ignition récurrents : autant de mesures techniques im</w:t>
      </w:r>
      <w:r>
        <w:rPr>
          <w:color w:val="000000"/>
        </w:rPr>
        <w:t>médiatement applicables qui réduisent significativement la fréquence des départs de feux en conditions critiques.</w:t>
      </w:r>
    </w:p>
    <w:p w:rsidR="00CD446B" w:rsidRDefault="004521BA">
      <w:pPr>
        <w:pStyle w:val="Titre2"/>
      </w:pPr>
      <w:r>
        <w:t>3.5 Anticiper l'extension géographique du risque</w:t>
      </w:r>
    </w:p>
    <w:p w:rsidR="00CD446B" w:rsidRDefault="004521BA">
      <w:pPr>
        <w:spacing w:after="120" w:line="276" w:lineRule="auto"/>
        <w:jc w:val="both"/>
      </w:pPr>
      <w:r>
        <w:rPr>
          <w:color w:val="000000"/>
        </w:rPr>
        <w:t xml:space="preserve">Les pays tempérés et boréaux — Scandinavie, Canada, Écosse, Allemagne — doivent intégrer que </w:t>
      </w:r>
      <w:r>
        <w:rPr>
          <w:color w:val="000000"/>
        </w:rPr>
        <w:t>le risque incendie n'est plus exceptionnel sur leur territoire. Cela implique d'adapter les plans de gestion forestière, les dispositifs de surveillance et les réglementations d'urbanisme dans des régions sans culture historique du feu.</w:t>
      </w:r>
    </w:p>
    <w:p w:rsidR="00CD446B" w:rsidRDefault="00CD446B">
      <w:pPr>
        <w:spacing w:after="80"/>
      </w:pPr>
    </w:p>
    <w:p w:rsidR="00CD446B" w:rsidRDefault="004521BA">
      <w:pPr>
        <w:pStyle w:val="Titre1"/>
        <w:pBdr>
          <w:bottom w:val="single" w:sz="12" w:space="4" w:color="C55A11"/>
        </w:pBdr>
      </w:pPr>
      <w:r>
        <w:lastRenderedPageBreak/>
        <w:t>4. La valorisation</w:t>
      </w:r>
      <w:r>
        <w:t xml:space="preserve"> thermochimique : dépasser le brûlis préventif</w:t>
      </w:r>
    </w:p>
    <w:p w:rsidR="00CD446B" w:rsidRDefault="004521BA">
      <w:pPr>
        <w:pStyle w:val="Titre2"/>
      </w:pPr>
      <w:r>
        <w:t>4.1 Le brûlis préventif : une réponse dépassée</w:t>
      </w:r>
    </w:p>
    <w:p w:rsidR="00CD446B" w:rsidRDefault="004521BA">
      <w:pPr>
        <w:spacing w:after="120" w:line="276" w:lineRule="auto"/>
        <w:jc w:val="both"/>
      </w:pPr>
      <w:r>
        <w:rPr>
          <w:color w:val="000000"/>
        </w:rPr>
        <w:t>Pendant des décennies, le brûlage dirigé a été présenté comme la réponse naturelle à l'accumulation de biomasse : brûler de manière contrôlée, hors période à risq</w:t>
      </w:r>
      <w:r>
        <w:rPr>
          <w:color w:val="000000"/>
        </w:rPr>
        <w:t>ue, pour décharger la forêt. Cette pratique reste courante dans les pays anglophones. Elle présente cependant des limites fondamentales qui la rendent incompatible avec les enjeux contemporains :</w:t>
      </w:r>
    </w:p>
    <w:p w:rsidR="00CD446B" w:rsidRDefault="004521BA">
      <w:pPr>
        <w:pStyle w:val="Paragraphedeliste"/>
        <w:numPr>
          <w:ilvl w:val="0"/>
          <w:numId w:val="1"/>
        </w:numPr>
        <w:spacing w:after="100" w:line="276" w:lineRule="auto"/>
        <w:jc w:val="both"/>
      </w:pPr>
      <w:r>
        <w:rPr>
          <w:b/>
          <w:bCs/>
          <w:color w:val="000000"/>
        </w:rPr>
        <w:t xml:space="preserve">Gaspillage énergétique. </w:t>
      </w:r>
      <w:r>
        <w:rPr>
          <w:color w:val="000000"/>
        </w:rPr>
        <w:t>La biomasse forestière est une resso</w:t>
      </w:r>
      <w:r>
        <w:rPr>
          <w:color w:val="000000"/>
        </w:rPr>
        <w:t>urce organique à haute valeur potentielle. La brûler à l'air libre revient à détruire cette ressource sans en extraire aucune valeur — ni énergétique, ni matière.</w:t>
      </w:r>
    </w:p>
    <w:p w:rsidR="00CD446B" w:rsidRDefault="004521BA">
      <w:pPr>
        <w:pStyle w:val="Paragraphedeliste"/>
        <w:numPr>
          <w:ilvl w:val="0"/>
          <w:numId w:val="1"/>
        </w:numPr>
        <w:spacing w:after="100" w:line="276" w:lineRule="auto"/>
        <w:jc w:val="both"/>
      </w:pPr>
      <w:r>
        <w:rPr>
          <w:b/>
          <w:bCs/>
          <w:color w:val="000000"/>
        </w:rPr>
        <w:t xml:space="preserve">Bilan carbone négatif. </w:t>
      </w:r>
      <w:r>
        <w:rPr>
          <w:color w:val="000000"/>
        </w:rPr>
        <w:t>Un brûlis émet du CO₂, des particules fines, du méthane et des oxydes d'azote sans aucune séquestration compensatoire. Il contribue au problème climatique qu'il est censé atténuer.</w:t>
      </w:r>
    </w:p>
    <w:p w:rsidR="00CD446B" w:rsidRDefault="004521BA">
      <w:pPr>
        <w:pStyle w:val="Paragraphedeliste"/>
        <w:numPr>
          <w:ilvl w:val="0"/>
          <w:numId w:val="1"/>
        </w:numPr>
        <w:spacing w:after="100" w:line="276" w:lineRule="auto"/>
        <w:jc w:val="both"/>
      </w:pPr>
      <w:r>
        <w:rPr>
          <w:b/>
          <w:bCs/>
          <w:color w:val="000000"/>
        </w:rPr>
        <w:t xml:space="preserve">Acceptabilité sociale en recul. </w:t>
      </w:r>
      <w:r>
        <w:rPr>
          <w:color w:val="000000"/>
        </w:rPr>
        <w:t>Les riverains et collectivités acceptent de</w:t>
      </w:r>
      <w:r>
        <w:rPr>
          <w:color w:val="000000"/>
        </w:rPr>
        <w:t xml:space="preserve"> moins en moins les fumées et risques résiduels associés aux brûlages, même dirigés.</w:t>
      </w:r>
    </w:p>
    <w:p w:rsidR="00CD446B" w:rsidRDefault="00CD446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D446B">
        <w:tblPrEx>
          <w:tblCellMar>
            <w:top w:w="0" w:type="dxa"/>
            <w:bottom w:w="0" w:type="dxa"/>
          </w:tblCellMar>
        </w:tblPrEx>
        <w:tc>
          <w:tcPr>
            <w:tcW w:w="9200" w:type="dxa"/>
            <w:shd w:val="clear" w:color="auto" w:fill="F2F2F2"/>
            <w:tcMar>
              <w:top w:w="140" w:type="dxa"/>
              <w:left w:w="220" w:type="dxa"/>
              <w:bottom w:w="140" w:type="dxa"/>
              <w:right w:w="220" w:type="dxa"/>
            </w:tcMar>
          </w:tcPr>
          <w:p w:rsidR="00CD446B" w:rsidRDefault="004521BA">
            <w:pPr>
              <w:spacing w:after="80" w:line="260" w:lineRule="auto"/>
              <w:ind w:left="144" w:right="144"/>
              <w:jc w:val="both"/>
            </w:pPr>
            <w:r>
              <w:rPr>
                <w:b/>
                <w:bCs/>
                <w:color w:val="1F3864"/>
                <w:sz w:val="21"/>
                <w:szCs w:val="21"/>
              </w:rPr>
              <w:t>Formulation-clé :</w:t>
            </w:r>
          </w:p>
          <w:p w:rsidR="00CD446B" w:rsidRDefault="00CD446B">
            <w:pPr>
              <w:spacing w:after="40" w:line="260" w:lineRule="auto"/>
              <w:ind w:left="144" w:right="144"/>
              <w:jc w:val="both"/>
            </w:pPr>
          </w:p>
          <w:p w:rsidR="00CD446B" w:rsidRDefault="004521BA">
            <w:pPr>
              <w:spacing w:after="80" w:line="260" w:lineRule="auto"/>
              <w:ind w:left="144" w:right="144"/>
              <w:jc w:val="both"/>
            </w:pPr>
            <w:r>
              <w:rPr>
                <w:color w:val="000000"/>
                <w:sz w:val="21"/>
                <w:szCs w:val="21"/>
              </w:rPr>
              <w:t>Brûler de la biomasse à l'air libre pour prévenir les incendies,</w:t>
            </w:r>
          </w:p>
          <w:p w:rsidR="00CD446B" w:rsidRDefault="004521BA">
            <w:pPr>
              <w:spacing w:after="80" w:line="260" w:lineRule="auto"/>
              <w:ind w:left="144" w:right="144"/>
              <w:jc w:val="both"/>
            </w:pPr>
            <w:r>
              <w:rPr>
                <w:color w:val="000000"/>
                <w:sz w:val="21"/>
                <w:szCs w:val="21"/>
              </w:rPr>
              <w:t>c'est traiter un problème environnemental par un autre problème environnemental.</w:t>
            </w:r>
          </w:p>
          <w:p w:rsidR="00CD446B" w:rsidRDefault="004521BA">
            <w:pPr>
              <w:spacing w:after="80" w:line="260" w:lineRule="auto"/>
              <w:ind w:left="144" w:right="144"/>
              <w:jc w:val="both"/>
            </w:pPr>
            <w:r>
              <w:rPr>
                <w:color w:val="000000"/>
                <w:sz w:val="21"/>
                <w:szCs w:val="21"/>
              </w:rPr>
              <w:t>Il ex</w:t>
            </w:r>
            <w:r>
              <w:rPr>
                <w:color w:val="000000"/>
                <w:sz w:val="21"/>
                <w:szCs w:val="21"/>
              </w:rPr>
              <w:t>iste aujourd'hui une réponse qui présente des avantages déterminants</w:t>
            </w:r>
          </w:p>
          <w:p w:rsidR="00CD446B" w:rsidRDefault="004521BA">
            <w:pPr>
              <w:spacing w:after="80" w:line="260" w:lineRule="auto"/>
              <w:ind w:left="144" w:right="144"/>
              <w:jc w:val="both"/>
            </w:pPr>
            <w:r>
              <w:rPr>
                <w:color w:val="000000"/>
                <w:sz w:val="21"/>
                <w:szCs w:val="21"/>
              </w:rPr>
              <w:t>sur les plans énergétique, climatique et économique.</w:t>
            </w:r>
          </w:p>
        </w:tc>
      </w:tr>
    </w:tbl>
    <w:p w:rsidR="00CD446B" w:rsidRDefault="00CD446B">
      <w:pPr>
        <w:spacing w:after="80"/>
      </w:pPr>
    </w:p>
    <w:p w:rsidR="00CD446B" w:rsidRDefault="004521BA">
      <w:pPr>
        <w:pStyle w:val="Titre2"/>
      </w:pPr>
      <w:r>
        <w:t>4.2 La valorisation thermochimique : trois bénéfices simultanés</w:t>
      </w:r>
    </w:p>
    <w:p w:rsidR="00CD446B" w:rsidRDefault="004521BA">
      <w:pPr>
        <w:spacing w:after="120" w:line="276" w:lineRule="auto"/>
        <w:jc w:val="both"/>
      </w:pPr>
      <w:r>
        <w:rPr>
          <w:color w:val="000000"/>
        </w:rPr>
        <w:t xml:space="preserve">La conversion thermochimique de la biomasse résiduelle forestière par </w:t>
      </w:r>
      <w:proofErr w:type="spellStart"/>
      <w:r>
        <w:rPr>
          <w:color w:val="000000"/>
        </w:rPr>
        <w:t>pyrogasification</w:t>
      </w:r>
      <w:proofErr w:type="spellEnd"/>
      <w:r>
        <w:rPr>
          <w:color w:val="000000"/>
        </w:rPr>
        <w:t xml:space="preserve"> produit simultanément trois résultats là où le brûlis n'en produisait aucun :</w:t>
      </w:r>
    </w:p>
    <w:p w:rsidR="00CD446B" w:rsidRDefault="00CD446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600"/>
      </w:tblGrid>
      <w:tr w:rsidR="00CD446B">
        <w:tblPrEx>
          <w:tblCellMar>
            <w:top w:w="0" w:type="dxa"/>
            <w:bottom w:w="0" w:type="dxa"/>
          </w:tblCellMar>
        </w:tblPrEx>
        <w:tc>
          <w:tcPr>
            <w:tcW w:w="1800" w:type="dxa"/>
            <w:shd w:val="clear" w:color="auto" w:fill="1F3864"/>
            <w:tcMar>
              <w:top w:w="100" w:type="dxa"/>
              <w:left w:w="140" w:type="dxa"/>
              <w:bottom w:w="100" w:type="dxa"/>
              <w:right w:w="140" w:type="dxa"/>
            </w:tcMar>
          </w:tcPr>
          <w:p w:rsidR="00CD446B" w:rsidRDefault="004521BA">
            <w:pPr>
              <w:jc w:val="center"/>
            </w:pPr>
            <w:proofErr w:type="spellStart"/>
            <w:r>
              <w:rPr>
                <w:b/>
                <w:bCs/>
                <w:color w:val="FFFFFF"/>
                <w:sz w:val="20"/>
                <w:szCs w:val="20"/>
              </w:rPr>
              <w:t>Co-produit</w:t>
            </w:r>
            <w:proofErr w:type="spellEnd"/>
          </w:p>
        </w:tc>
        <w:tc>
          <w:tcPr>
            <w:tcW w:w="3800" w:type="dxa"/>
            <w:shd w:val="clear" w:color="auto" w:fill="1F3864"/>
            <w:tcMar>
              <w:top w:w="100" w:type="dxa"/>
              <w:left w:w="140" w:type="dxa"/>
              <w:bottom w:w="100" w:type="dxa"/>
              <w:right w:w="140" w:type="dxa"/>
            </w:tcMar>
          </w:tcPr>
          <w:p w:rsidR="00CD446B" w:rsidRDefault="004521BA">
            <w:pPr>
              <w:jc w:val="center"/>
            </w:pPr>
            <w:r>
              <w:rPr>
                <w:b/>
                <w:bCs/>
                <w:color w:val="FFFFFF"/>
                <w:sz w:val="20"/>
                <w:szCs w:val="20"/>
              </w:rPr>
              <w:t>Ce qu'il apporte</w:t>
            </w:r>
          </w:p>
        </w:tc>
        <w:tc>
          <w:tcPr>
            <w:tcW w:w="3600" w:type="dxa"/>
            <w:shd w:val="clear" w:color="auto" w:fill="1F3864"/>
            <w:tcMar>
              <w:top w:w="100" w:type="dxa"/>
              <w:left w:w="140" w:type="dxa"/>
              <w:bottom w:w="100" w:type="dxa"/>
              <w:right w:w="140" w:type="dxa"/>
            </w:tcMar>
          </w:tcPr>
          <w:p w:rsidR="00CD446B" w:rsidRDefault="004521BA">
            <w:pPr>
              <w:jc w:val="center"/>
            </w:pPr>
            <w:r>
              <w:rPr>
                <w:b/>
                <w:bCs/>
                <w:color w:val="FFFFFF"/>
                <w:sz w:val="20"/>
                <w:szCs w:val="20"/>
              </w:rPr>
              <w:t>Avantage vs brûlis</w:t>
            </w:r>
          </w:p>
        </w:tc>
      </w:tr>
      <w:tr w:rsidR="00CD446B">
        <w:tblPrEx>
          <w:tblCellMar>
            <w:top w:w="0" w:type="dxa"/>
            <w:bottom w:w="0" w:type="dxa"/>
          </w:tblCellMar>
        </w:tblPrEx>
        <w:tc>
          <w:tcPr>
            <w:tcW w:w="1800" w:type="dxa"/>
            <w:shd w:val="clear" w:color="auto" w:fill="E2EFDA"/>
            <w:tcMar>
              <w:top w:w="80" w:type="dxa"/>
              <w:left w:w="140" w:type="dxa"/>
              <w:bottom w:w="80" w:type="dxa"/>
              <w:right w:w="140" w:type="dxa"/>
            </w:tcMar>
          </w:tcPr>
          <w:p w:rsidR="00CD446B" w:rsidRDefault="004521BA">
            <w:r>
              <w:rPr>
                <w:b/>
                <w:bCs/>
                <w:color w:val="1F6B3C"/>
                <w:sz w:val="20"/>
                <w:szCs w:val="20"/>
              </w:rPr>
              <w:t>Bio-CH₄</w:t>
            </w:r>
          </w:p>
        </w:tc>
        <w:tc>
          <w:tcPr>
            <w:tcW w:w="3800" w:type="dxa"/>
            <w:shd w:val="clear" w:color="auto" w:fill="E2EFDA"/>
            <w:tcMar>
              <w:top w:w="80" w:type="dxa"/>
              <w:left w:w="140" w:type="dxa"/>
              <w:bottom w:w="80" w:type="dxa"/>
              <w:right w:w="140" w:type="dxa"/>
            </w:tcMar>
          </w:tcPr>
          <w:p w:rsidR="00CD446B" w:rsidRDefault="004521BA">
            <w:r>
              <w:rPr>
                <w:color w:val="000000"/>
                <w:sz w:val="20"/>
                <w:szCs w:val="20"/>
              </w:rPr>
              <w:t>Énergie renouvelable injectable dans le réseau gaz existant ; substitut direct au gaz fossile pour mobilité lourde, aviation (bio-GNL), industrie, stockage saisonnier</w:t>
            </w:r>
          </w:p>
        </w:tc>
        <w:tc>
          <w:tcPr>
            <w:tcW w:w="3600" w:type="dxa"/>
            <w:shd w:val="clear" w:color="auto" w:fill="E2EFDA"/>
            <w:tcMar>
              <w:top w:w="80" w:type="dxa"/>
              <w:left w:w="140" w:type="dxa"/>
              <w:bottom w:w="80" w:type="dxa"/>
              <w:right w:w="140" w:type="dxa"/>
            </w:tcMar>
          </w:tcPr>
          <w:p w:rsidR="00CD446B" w:rsidRDefault="004521BA">
            <w:r>
              <w:rPr>
                <w:color w:val="000000"/>
                <w:sz w:val="20"/>
                <w:szCs w:val="20"/>
              </w:rPr>
              <w:t>Substitue du fossile ; bilan carbone neutre à négatif</w:t>
            </w:r>
          </w:p>
        </w:tc>
      </w:tr>
      <w:tr w:rsidR="00CD446B">
        <w:tblPrEx>
          <w:tblCellMar>
            <w:top w:w="0" w:type="dxa"/>
            <w:bottom w:w="0" w:type="dxa"/>
          </w:tblCellMar>
        </w:tblPrEx>
        <w:tc>
          <w:tcPr>
            <w:tcW w:w="1800" w:type="dxa"/>
            <w:shd w:val="clear" w:color="auto" w:fill="F0F7EC"/>
            <w:tcMar>
              <w:top w:w="80" w:type="dxa"/>
              <w:left w:w="140" w:type="dxa"/>
              <w:bottom w:w="80" w:type="dxa"/>
              <w:right w:w="140" w:type="dxa"/>
            </w:tcMar>
          </w:tcPr>
          <w:p w:rsidR="00CD446B" w:rsidRDefault="004521BA">
            <w:proofErr w:type="spellStart"/>
            <w:r>
              <w:rPr>
                <w:b/>
                <w:bCs/>
                <w:color w:val="1F6B3C"/>
                <w:sz w:val="20"/>
                <w:szCs w:val="20"/>
              </w:rPr>
              <w:t>Biochar</w:t>
            </w:r>
            <w:proofErr w:type="spellEnd"/>
          </w:p>
        </w:tc>
        <w:tc>
          <w:tcPr>
            <w:tcW w:w="3800" w:type="dxa"/>
            <w:shd w:val="clear" w:color="auto" w:fill="F0F7EC"/>
            <w:tcMar>
              <w:top w:w="80" w:type="dxa"/>
              <w:left w:w="140" w:type="dxa"/>
              <w:bottom w:w="80" w:type="dxa"/>
              <w:right w:w="140" w:type="dxa"/>
            </w:tcMar>
          </w:tcPr>
          <w:p w:rsidR="00CD446B" w:rsidRDefault="004521BA">
            <w:r>
              <w:rPr>
                <w:color w:val="000000"/>
                <w:sz w:val="20"/>
                <w:szCs w:val="20"/>
              </w:rPr>
              <w:t xml:space="preserve">Amendement stable des sols forestiers et agricoles ; séquestration du carbone pendant plusieurs siècles à plusieurs millénaires selon les conditions pédologiques (2,5 à 3,1 t </w:t>
            </w:r>
            <w:proofErr w:type="spellStart"/>
            <w:r>
              <w:rPr>
                <w:color w:val="000000"/>
                <w:sz w:val="20"/>
                <w:szCs w:val="20"/>
              </w:rPr>
              <w:t>CO₂eq</w:t>
            </w:r>
            <w:proofErr w:type="spellEnd"/>
            <w:r>
              <w:rPr>
                <w:color w:val="000000"/>
                <w:sz w:val="20"/>
                <w:szCs w:val="20"/>
              </w:rPr>
              <w:t xml:space="preserve">/t </w:t>
            </w:r>
            <w:proofErr w:type="spellStart"/>
            <w:r>
              <w:rPr>
                <w:color w:val="000000"/>
                <w:sz w:val="20"/>
                <w:szCs w:val="20"/>
              </w:rPr>
              <w:t>biochar</w:t>
            </w:r>
            <w:proofErr w:type="spellEnd"/>
            <w:r>
              <w:rPr>
                <w:color w:val="000000"/>
                <w:sz w:val="20"/>
                <w:szCs w:val="20"/>
              </w:rPr>
              <w:t>)</w:t>
            </w:r>
          </w:p>
        </w:tc>
        <w:tc>
          <w:tcPr>
            <w:tcW w:w="3600" w:type="dxa"/>
            <w:shd w:val="clear" w:color="auto" w:fill="F0F7EC"/>
            <w:tcMar>
              <w:top w:w="80" w:type="dxa"/>
              <w:left w:w="140" w:type="dxa"/>
              <w:bottom w:w="80" w:type="dxa"/>
              <w:right w:w="140" w:type="dxa"/>
            </w:tcMar>
          </w:tcPr>
          <w:p w:rsidR="00CD446B" w:rsidRDefault="004521BA">
            <w:r>
              <w:rPr>
                <w:color w:val="000000"/>
                <w:sz w:val="20"/>
                <w:szCs w:val="20"/>
              </w:rPr>
              <w:t>Séquestre le carbone au lieu de l'émettre ; restaure les sols ap</w:t>
            </w:r>
            <w:r>
              <w:rPr>
                <w:color w:val="000000"/>
                <w:sz w:val="20"/>
                <w:szCs w:val="20"/>
              </w:rPr>
              <w:t>rès incendie</w:t>
            </w:r>
          </w:p>
        </w:tc>
      </w:tr>
      <w:tr w:rsidR="00CD446B">
        <w:tblPrEx>
          <w:tblCellMar>
            <w:top w:w="0" w:type="dxa"/>
            <w:bottom w:w="0" w:type="dxa"/>
          </w:tblCellMar>
        </w:tblPrEx>
        <w:tc>
          <w:tcPr>
            <w:tcW w:w="1800" w:type="dxa"/>
            <w:shd w:val="clear" w:color="auto" w:fill="E2EFDA"/>
            <w:tcMar>
              <w:top w:w="80" w:type="dxa"/>
              <w:left w:w="140" w:type="dxa"/>
              <w:bottom w:w="80" w:type="dxa"/>
              <w:right w:w="140" w:type="dxa"/>
            </w:tcMar>
          </w:tcPr>
          <w:p w:rsidR="00CD446B" w:rsidRDefault="004521BA">
            <w:r>
              <w:rPr>
                <w:b/>
                <w:bCs/>
                <w:color w:val="1F6B3C"/>
                <w:sz w:val="20"/>
                <w:szCs w:val="20"/>
              </w:rPr>
              <w:t>CO₂ biogénique</w:t>
            </w:r>
          </w:p>
        </w:tc>
        <w:tc>
          <w:tcPr>
            <w:tcW w:w="3800" w:type="dxa"/>
            <w:shd w:val="clear" w:color="auto" w:fill="E2EFDA"/>
            <w:tcMar>
              <w:top w:w="80" w:type="dxa"/>
              <w:left w:w="140" w:type="dxa"/>
              <w:bottom w:w="80" w:type="dxa"/>
              <w:right w:w="140" w:type="dxa"/>
            </w:tcMar>
          </w:tcPr>
          <w:p w:rsidR="00CD446B" w:rsidRDefault="004521BA">
            <w:r>
              <w:rPr>
                <w:color w:val="000000"/>
                <w:sz w:val="20"/>
                <w:szCs w:val="20"/>
              </w:rPr>
              <w:t>CO₂ capturé en sortie de procédé, pouvant être valorisé (synthèse de carburants de substitution, usage industriel) ou stocké géologiquement</w:t>
            </w:r>
          </w:p>
        </w:tc>
        <w:tc>
          <w:tcPr>
            <w:tcW w:w="3600" w:type="dxa"/>
            <w:shd w:val="clear" w:color="auto" w:fill="E2EFDA"/>
            <w:tcMar>
              <w:top w:w="80" w:type="dxa"/>
              <w:left w:w="140" w:type="dxa"/>
              <w:bottom w:w="80" w:type="dxa"/>
              <w:right w:w="140" w:type="dxa"/>
            </w:tcMar>
          </w:tcPr>
          <w:p w:rsidR="00CD446B" w:rsidRDefault="004521BA">
            <w:r>
              <w:rPr>
                <w:color w:val="000000"/>
                <w:sz w:val="20"/>
                <w:szCs w:val="20"/>
              </w:rPr>
              <w:t>Carbone circulaire non fossile, potentiellement négatif si stocké</w:t>
            </w:r>
          </w:p>
        </w:tc>
      </w:tr>
    </w:tbl>
    <w:p w:rsidR="00CD446B" w:rsidRDefault="00CD446B">
      <w:pPr>
        <w:spacing w:after="80"/>
      </w:pPr>
    </w:p>
    <w:p w:rsidR="00CD446B" w:rsidRDefault="004521BA">
      <w:pPr>
        <w:pStyle w:val="Titre2"/>
      </w:pPr>
      <w:r>
        <w:lastRenderedPageBreak/>
        <w:t xml:space="preserve">4.3 Le bio-CH₄ : un vecteur énergétique irremplaçable pour les usages non </w:t>
      </w:r>
      <w:proofErr w:type="spellStart"/>
      <w:r>
        <w:t>électrifiables</w:t>
      </w:r>
      <w:proofErr w:type="spellEnd"/>
    </w:p>
    <w:p w:rsidR="00CD446B" w:rsidRDefault="004521BA">
      <w:pPr>
        <w:spacing w:after="120" w:line="276" w:lineRule="auto"/>
        <w:jc w:val="both"/>
      </w:pPr>
      <w:r>
        <w:rPr>
          <w:color w:val="000000"/>
        </w:rPr>
        <w:t xml:space="preserve">Le bio-méthane produit par </w:t>
      </w:r>
      <w:proofErr w:type="spellStart"/>
      <w:r>
        <w:rPr>
          <w:color w:val="000000"/>
        </w:rPr>
        <w:t>pyrogasification</w:t>
      </w:r>
      <w:proofErr w:type="spellEnd"/>
      <w:r>
        <w:rPr>
          <w:color w:val="000000"/>
        </w:rPr>
        <w:t xml:space="preserve"> est un gaz renouvelable chimiquement identique au gaz naturel fossile, directement injectable dans les réseaux existants et utilisable sans modification dans tous les équipements gaz actuels. Son rôle est particu</w:t>
      </w:r>
      <w:r>
        <w:rPr>
          <w:color w:val="000000"/>
        </w:rPr>
        <w:t>lièrement critique pour les usages que l'électrification ne peut pas couvrir à horizon 2040–2050 :</w:t>
      </w:r>
    </w:p>
    <w:p w:rsidR="00CD446B" w:rsidRDefault="004521BA">
      <w:pPr>
        <w:pStyle w:val="Paragraphedeliste"/>
        <w:numPr>
          <w:ilvl w:val="0"/>
          <w:numId w:val="1"/>
        </w:numPr>
        <w:spacing w:after="100" w:line="276" w:lineRule="auto"/>
        <w:jc w:val="both"/>
      </w:pPr>
      <w:r>
        <w:rPr>
          <w:b/>
          <w:bCs/>
          <w:color w:val="000000"/>
        </w:rPr>
        <w:t xml:space="preserve">Mobilité lourde. </w:t>
      </w:r>
      <w:r>
        <w:rPr>
          <w:color w:val="000000"/>
        </w:rPr>
        <w:t>Poids lourds longue distance, transport maritime, rail non électrifié : le bio-CH₄ sous forme de GNL ou GNC est le substitut direct au gazol</w:t>
      </w:r>
      <w:r>
        <w:rPr>
          <w:color w:val="000000"/>
        </w:rPr>
        <w:t xml:space="preserve">e et au fioul fossiles, avec un bilan carbone négatif quand le </w:t>
      </w:r>
      <w:proofErr w:type="spellStart"/>
      <w:r>
        <w:rPr>
          <w:color w:val="000000"/>
        </w:rPr>
        <w:t>biochar</w:t>
      </w:r>
      <w:proofErr w:type="spellEnd"/>
      <w:r>
        <w:rPr>
          <w:color w:val="000000"/>
        </w:rPr>
        <w:t xml:space="preserve"> associé est comptabilisé.</w:t>
      </w:r>
    </w:p>
    <w:p w:rsidR="00CD446B" w:rsidRDefault="004521BA">
      <w:pPr>
        <w:pStyle w:val="Paragraphedeliste"/>
        <w:numPr>
          <w:ilvl w:val="0"/>
          <w:numId w:val="1"/>
        </w:numPr>
        <w:spacing w:after="100" w:line="276" w:lineRule="auto"/>
        <w:jc w:val="both"/>
      </w:pPr>
      <w:r>
        <w:rPr>
          <w:b/>
          <w:bCs/>
          <w:color w:val="000000"/>
        </w:rPr>
        <w:t xml:space="preserve">Aviation. </w:t>
      </w:r>
      <w:r>
        <w:rPr>
          <w:color w:val="000000"/>
        </w:rPr>
        <w:t xml:space="preserve">Le bio-méthane liquéfié (bio-GNL) constitue une voie de </w:t>
      </w:r>
      <w:proofErr w:type="spellStart"/>
      <w:r>
        <w:rPr>
          <w:color w:val="000000"/>
        </w:rPr>
        <w:t>décarbonation</w:t>
      </w:r>
      <w:proofErr w:type="spellEnd"/>
      <w:r>
        <w:rPr>
          <w:color w:val="000000"/>
        </w:rPr>
        <w:t xml:space="preserve"> profonde et techniquement fondée de l'aviation, distincte des carburants d'avia</w:t>
      </w:r>
      <w:r>
        <w:rPr>
          <w:color w:val="000000"/>
        </w:rPr>
        <w:t xml:space="preserve">tion durables liquides (SAF) : à bilan carbone supérieur, indépendante des huiles végétales ou des déchets liquides, elle implique une rupture sur les motorisations à horizon 2040–2050 — trajectoire de long terme complémentaire aux solutions de transition </w:t>
      </w:r>
      <w:r>
        <w:rPr>
          <w:color w:val="000000"/>
        </w:rPr>
        <w:t>immédiate.</w:t>
      </w:r>
    </w:p>
    <w:p w:rsidR="00CD446B" w:rsidRDefault="004521BA">
      <w:pPr>
        <w:pStyle w:val="Paragraphedeliste"/>
        <w:numPr>
          <w:ilvl w:val="0"/>
          <w:numId w:val="1"/>
        </w:numPr>
        <w:spacing w:after="100" w:line="276" w:lineRule="auto"/>
        <w:jc w:val="both"/>
      </w:pPr>
      <w:r>
        <w:rPr>
          <w:b/>
          <w:bCs/>
          <w:color w:val="000000"/>
        </w:rPr>
        <w:t xml:space="preserve">Industrie haute température. </w:t>
      </w:r>
      <w:r>
        <w:rPr>
          <w:color w:val="000000"/>
        </w:rPr>
        <w:t xml:space="preserve">Fours, séchoirs, procédés industriels nécessitant des températures supérieures à 400°C — inaccessibles aux pompes à chaleur — peuvent être </w:t>
      </w:r>
      <w:proofErr w:type="spellStart"/>
      <w:r>
        <w:rPr>
          <w:color w:val="000000"/>
        </w:rPr>
        <w:t>décarbonés</w:t>
      </w:r>
      <w:proofErr w:type="spellEnd"/>
      <w:r>
        <w:rPr>
          <w:color w:val="000000"/>
        </w:rPr>
        <w:t xml:space="preserve"> par substitution directe du gaz fossile par du bio-CH₄.</w:t>
      </w:r>
    </w:p>
    <w:p w:rsidR="00CD446B" w:rsidRDefault="004521BA">
      <w:pPr>
        <w:pStyle w:val="Paragraphedeliste"/>
        <w:numPr>
          <w:ilvl w:val="0"/>
          <w:numId w:val="1"/>
        </w:numPr>
        <w:spacing w:after="100" w:line="276" w:lineRule="auto"/>
        <w:jc w:val="both"/>
      </w:pPr>
      <w:r>
        <w:rPr>
          <w:b/>
          <w:bCs/>
          <w:color w:val="000000"/>
        </w:rPr>
        <w:t>Stockage s</w:t>
      </w:r>
      <w:r>
        <w:rPr>
          <w:b/>
          <w:bCs/>
          <w:color w:val="000000"/>
        </w:rPr>
        <w:t xml:space="preserve">aisonnier. </w:t>
      </w:r>
      <w:r>
        <w:rPr>
          <w:color w:val="000000"/>
        </w:rPr>
        <w:t>Le gaz est stockable dans les infrastructures existantes (stockages souterrains), offrant une flexibilité que les batteries ne peuvent pas fournir à cette échelle pour compenser l'intermittence des renouvelables électriques.</w:t>
      </w:r>
    </w:p>
    <w:p w:rsidR="00CD446B" w:rsidRDefault="004521BA">
      <w:pPr>
        <w:spacing w:after="120" w:line="276" w:lineRule="auto"/>
        <w:jc w:val="both"/>
      </w:pPr>
      <w:r>
        <w:rPr>
          <w:color w:val="000000"/>
        </w:rPr>
        <w:t>C'est en cela que la</w:t>
      </w:r>
      <w:r>
        <w:rPr>
          <w:color w:val="000000"/>
        </w:rPr>
        <w:t xml:space="preserve"> biomasse résiduelle forestière n'est pas une ressource énergétique banale : elle produit le seul vecteur énergétique renouvelable </w:t>
      </w:r>
      <w:proofErr w:type="spellStart"/>
      <w:r>
        <w:rPr>
          <w:color w:val="000000"/>
        </w:rPr>
        <w:t>reconstituable</w:t>
      </w:r>
      <w:proofErr w:type="spellEnd"/>
      <w:r>
        <w:rPr>
          <w:color w:val="000000"/>
        </w:rPr>
        <w:t xml:space="preserve"> sans dépendance à des métaux critiques, capable de couvrir les usages que l'électrification ne peut pas attein</w:t>
      </w:r>
      <w:r>
        <w:rPr>
          <w:color w:val="000000"/>
        </w:rPr>
        <w:t>dre.</w:t>
      </w:r>
    </w:p>
    <w:p w:rsidR="00CD446B" w:rsidRDefault="004521BA">
      <w:pPr>
        <w:pStyle w:val="Titre2"/>
      </w:pPr>
      <w:r>
        <w:t>4.4 La boucle carbone négative</w:t>
      </w:r>
    </w:p>
    <w:p w:rsidR="00CD446B" w:rsidRDefault="004521BA">
      <w:pPr>
        <w:spacing w:after="120" w:line="276" w:lineRule="auto"/>
        <w:jc w:val="both"/>
      </w:pPr>
      <w:r>
        <w:rPr>
          <w:color w:val="000000"/>
        </w:rPr>
        <w:t xml:space="preserve">La combinaison des trois </w:t>
      </w:r>
      <w:proofErr w:type="spellStart"/>
      <w:r>
        <w:rPr>
          <w:color w:val="000000"/>
        </w:rPr>
        <w:t>co-produits</w:t>
      </w:r>
      <w:proofErr w:type="spellEnd"/>
      <w:r>
        <w:rPr>
          <w:color w:val="000000"/>
        </w:rPr>
        <w:t xml:space="preserve"> crée une boucle carbone sans équivalent dans aucune autre filière de prévention incendie :</w:t>
      </w:r>
    </w:p>
    <w:p w:rsidR="00CD446B" w:rsidRDefault="00CD446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D446B">
        <w:tblPrEx>
          <w:tblCellMar>
            <w:top w:w="0" w:type="dxa"/>
            <w:bottom w:w="0" w:type="dxa"/>
          </w:tblCellMar>
        </w:tblPrEx>
        <w:tc>
          <w:tcPr>
            <w:tcW w:w="9200" w:type="dxa"/>
            <w:shd w:val="clear" w:color="auto" w:fill="EBF5EB"/>
            <w:tcMar>
              <w:top w:w="140" w:type="dxa"/>
              <w:left w:w="220" w:type="dxa"/>
              <w:bottom w:w="140" w:type="dxa"/>
              <w:right w:w="220" w:type="dxa"/>
            </w:tcMar>
          </w:tcPr>
          <w:p w:rsidR="00CD446B" w:rsidRDefault="004521BA">
            <w:pPr>
              <w:spacing w:after="80" w:line="260" w:lineRule="auto"/>
              <w:ind w:left="144" w:right="144"/>
              <w:jc w:val="both"/>
            </w:pPr>
            <w:r>
              <w:rPr>
                <w:b/>
                <w:bCs/>
                <w:color w:val="1F6B3C"/>
                <w:sz w:val="21"/>
                <w:szCs w:val="21"/>
              </w:rPr>
              <w:t>La boucle carbone de la valorisation thermochimique forestière :</w:t>
            </w:r>
          </w:p>
          <w:p w:rsidR="00CD446B" w:rsidRDefault="00CD446B">
            <w:pPr>
              <w:spacing w:after="40" w:line="260" w:lineRule="auto"/>
              <w:ind w:left="144" w:right="144"/>
              <w:jc w:val="both"/>
            </w:pPr>
          </w:p>
          <w:p w:rsidR="00CD446B" w:rsidRDefault="004521BA">
            <w:pPr>
              <w:spacing w:after="80" w:line="260" w:lineRule="auto"/>
              <w:ind w:left="144" w:right="144"/>
              <w:jc w:val="both"/>
            </w:pPr>
            <w:r>
              <w:rPr>
                <w:b/>
                <w:bCs/>
                <w:color w:val="000000"/>
                <w:sz w:val="21"/>
                <w:szCs w:val="21"/>
              </w:rPr>
              <w:t>1. La biomasse résiduelle (qui brûlerait sinon lors d'un incendie) est prélevée et convertie.</w:t>
            </w:r>
          </w:p>
          <w:p w:rsidR="00CD446B" w:rsidRDefault="004521BA">
            <w:pPr>
              <w:spacing w:after="80" w:line="260" w:lineRule="auto"/>
              <w:ind w:left="144" w:right="144"/>
              <w:jc w:val="both"/>
            </w:pPr>
            <w:r>
              <w:rPr>
                <w:b/>
                <w:bCs/>
                <w:color w:val="000000"/>
                <w:sz w:val="21"/>
                <w:szCs w:val="21"/>
              </w:rPr>
              <w:t>2. Le bio-CH₄ substitue du gaz fossile.</w:t>
            </w:r>
          </w:p>
          <w:p w:rsidR="00CD446B" w:rsidRDefault="004521BA">
            <w:pPr>
              <w:spacing w:after="80" w:line="260" w:lineRule="auto"/>
              <w:ind w:left="144" w:right="144"/>
              <w:jc w:val="both"/>
            </w:pPr>
            <w:r>
              <w:rPr>
                <w:color w:val="000000"/>
                <w:sz w:val="21"/>
                <w:szCs w:val="21"/>
              </w:rPr>
              <w:t xml:space="preserve">   Note de calcul : 1 TWh de bio-CH₄ ≈ 180 000 t CO₂ évitées</w:t>
            </w:r>
          </w:p>
          <w:p w:rsidR="00CD446B" w:rsidRDefault="004521BA">
            <w:pPr>
              <w:spacing w:after="80" w:line="260" w:lineRule="auto"/>
              <w:ind w:left="144" w:right="144"/>
              <w:jc w:val="both"/>
            </w:pPr>
            <w:r>
              <w:rPr>
                <w:color w:val="000000"/>
                <w:sz w:val="21"/>
                <w:szCs w:val="21"/>
              </w:rPr>
              <w:t xml:space="preserve">   (densité énergétique CH₄ ≈ 10 kWh/m³ ; facteur d'émission </w:t>
            </w:r>
            <w:r>
              <w:rPr>
                <w:color w:val="000000"/>
                <w:sz w:val="21"/>
                <w:szCs w:val="21"/>
              </w:rPr>
              <w:t>gaz fossile ≈ 0,18 t CO₂/</w:t>
            </w:r>
            <w:proofErr w:type="spellStart"/>
            <w:r>
              <w:rPr>
                <w:color w:val="000000"/>
                <w:sz w:val="21"/>
                <w:szCs w:val="21"/>
              </w:rPr>
              <w:t>MWh</w:t>
            </w:r>
            <w:proofErr w:type="spellEnd"/>
            <w:r>
              <w:rPr>
                <w:color w:val="000000"/>
                <w:sz w:val="21"/>
                <w:szCs w:val="21"/>
              </w:rPr>
              <w:t>).</w:t>
            </w:r>
          </w:p>
          <w:p w:rsidR="00CD446B" w:rsidRDefault="004521BA">
            <w:pPr>
              <w:spacing w:after="80" w:line="260" w:lineRule="auto"/>
              <w:ind w:left="144" w:right="144"/>
              <w:jc w:val="both"/>
            </w:pPr>
            <w:r>
              <w:rPr>
                <w:b/>
                <w:bCs/>
                <w:color w:val="000000"/>
                <w:sz w:val="21"/>
                <w:szCs w:val="21"/>
              </w:rPr>
              <w:t xml:space="preserve">3. Le </w:t>
            </w:r>
            <w:proofErr w:type="spellStart"/>
            <w:r>
              <w:rPr>
                <w:b/>
                <w:bCs/>
                <w:color w:val="000000"/>
                <w:sz w:val="21"/>
                <w:szCs w:val="21"/>
              </w:rPr>
              <w:t>biochar</w:t>
            </w:r>
            <w:proofErr w:type="spellEnd"/>
            <w:r>
              <w:rPr>
                <w:b/>
                <w:bCs/>
                <w:color w:val="000000"/>
                <w:sz w:val="21"/>
                <w:szCs w:val="21"/>
              </w:rPr>
              <w:t xml:space="preserve"> séquestre 2,5 à 3,1 t </w:t>
            </w:r>
            <w:proofErr w:type="spellStart"/>
            <w:r>
              <w:rPr>
                <w:b/>
                <w:bCs/>
                <w:color w:val="000000"/>
                <w:sz w:val="21"/>
                <w:szCs w:val="21"/>
              </w:rPr>
              <w:t>CO₂eq</w:t>
            </w:r>
            <w:proofErr w:type="spellEnd"/>
            <w:r>
              <w:rPr>
                <w:b/>
                <w:bCs/>
                <w:color w:val="000000"/>
                <w:sz w:val="21"/>
                <w:szCs w:val="21"/>
              </w:rPr>
              <w:t xml:space="preserve"> par tonne dans les sols pendant plusieurs</w:t>
            </w:r>
          </w:p>
          <w:p w:rsidR="00CD446B" w:rsidRDefault="004521BA">
            <w:pPr>
              <w:spacing w:after="80" w:line="260" w:lineRule="auto"/>
              <w:ind w:left="144" w:right="144"/>
              <w:jc w:val="both"/>
            </w:pPr>
            <w:r>
              <w:rPr>
                <w:color w:val="000000"/>
                <w:sz w:val="21"/>
                <w:szCs w:val="21"/>
              </w:rPr>
              <w:t xml:space="preserve">   siècles à plusieurs millénaires selon les conditions pédologiques (H/C ≤ 0,4).</w:t>
            </w:r>
          </w:p>
          <w:p w:rsidR="00CD446B" w:rsidRDefault="004521BA">
            <w:pPr>
              <w:spacing w:after="80" w:line="260" w:lineRule="auto"/>
              <w:ind w:left="144" w:right="144"/>
              <w:jc w:val="both"/>
            </w:pPr>
            <w:r>
              <w:rPr>
                <w:b/>
                <w:bCs/>
                <w:color w:val="000000"/>
                <w:sz w:val="21"/>
                <w:szCs w:val="21"/>
              </w:rPr>
              <w:t>4. Le CO₂ biogénique capturé peut être stocké ou valorisé —</w:t>
            </w:r>
            <w:r>
              <w:rPr>
                <w:b/>
                <w:bCs/>
                <w:color w:val="000000"/>
                <w:sz w:val="21"/>
                <w:szCs w:val="21"/>
              </w:rPr>
              <w:t xml:space="preserve"> carbone circulaire non fossile.</w:t>
            </w:r>
          </w:p>
          <w:p w:rsidR="00CD446B" w:rsidRDefault="00CD446B">
            <w:pPr>
              <w:spacing w:after="40" w:line="260" w:lineRule="auto"/>
              <w:ind w:left="144" w:right="144"/>
              <w:jc w:val="both"/>
            </w:pPr>
          </w:p>
          <w:p w:rsidR="00CD446B" w:rsidRDefault="004521BA">
            <w:pPr>
              <w:spacing w:after="80" w:line="260" w:lineRule="auto"/>
              <w:ind w:left="144" w:right="144"/>
              <w:jc w:val="both"/>
            </w:pPr>
            <w:r>
              <w:rPr>
                <w:color w:val="000000"/>
                <w:sz w:val="21"/>
                <w:szCs w:val="21"/>
              </w:rPr>
              <w:t xml:space="preserve">Résultat net : la prévention incendie devient </w:t>
            </w:r>
            <w:proofErr w:type="spellStart"/>
            <w:r>
              <w:rPr>
                <w:color w:val="000000"/>
                <w:sz w:val="21"/>
                <w:szCs w:val="21"/>
              </w:rPr>
              <w:t>carbon-negative</w:t>
            </w:r>
            <w:proofErr w:type="spellEnd"/>
            <w:r>
              <w:rPr>
                <w:color w:val="000000"/>
                <w:sz w:val="21"/>
                <w:szCs w:val="21"/>
              </w:rPr>
              <w:t>.</w:t>
            </w:r>
          </w:p>
          <w:p w:rsidR="00CD446B" w:rsidRDefault="004521BA">
            <w:pPr>
              <w:spacing w:after="80" w:line="260" w:lineRule="auto"/>
              <w:ind w:left="144" w:right="144"/>
              <w:jc w:val="both"/>
            </w:pPr>
            <w:r>
              <w:rPr>
                <w:color w:val="000000"/>
                <w:sz w:val="21"/>
                <w:szCs w:val="21"/>
              </w:rPr>
              <w:t>Elle ne se contente pas d'éviter des émissions — elle séquestre du carbone</w:t>
            </w:r>
          </w:p>
          <w:p w:rsidR="00CD446B" w:rsidRDefault="004521BA">
            <w:pPr>
              <w:spacing w:after="80" w:line="260" w:lineRule="auto"/>
              <w:ind w:left="144" w:right="144"/>
              <w:jc w:val="both"/>
            </w:pPr>
            <w:r>
              <w:rPr>
                <w:color w:val="000000"/>
                <w:sz w:val="21"/>
                <w:szCs w:val="21"/>
              </w:rPr>
              <w:t>tout en produisant une énergie qui déplace du fossile.</w:t>
            </w:r>
          </w:p>
          <w:p w:rsidR="00CD446B" w:rsidRDefault="004521BA">
            <w:pPr>
              <w:spacing w:after="80" w:line="260" w:lineRule="auto"/>
              <w:ind w:left="144" w:right="144"/>
              <w:jc w:val="both"/>
            </w:pPr>
            <w:r>
              <w:rPr>
                <w:color w:val="000000"/>
                <w:sz w:val="21"/>
                <w:szCs w:val="21"/>
              </w:rPr>
              <w:t>C'est ce que le brûlis préven</w:t>
            </w:r>
            <w:r>
              <w:rPr>
                <w:color w:val="000000"/>
                <w:sz w:val="21"/>
                <w:szCs w:val="21"/>
              </w:rPr>
              <w:t>tif n'a jamais pu être.</w:t>
            </w:r>
          </w:p>
        </w:tc>
      </w:tr>
    </w:tbl>
    <w:p w:rsidR="00CD446B" w:rsidRDefault="00CD446B">
      <w:pPr>
        <w:spacing w:after="80"/>
      </w:pPr>
    </w:p>
    <w:p w:rsidR="00CD446B" w:rsidRDefault="004521BA">
      <w:pPr>
        <w:pStyle w:val="Titre2"/>
      </w:pPr>
      <w:r>
        <w:lastRenderedPageBreak/>
        <w:t>4.5 Un exemple chiffré : 100 000 t/an de biomasse forestière</w:t>
      </w:r>
    </w:p>
    <w:p w:rsidR="00CD446B" w:rsidRDefault="004521BA">
      <w:pPr>
        <w:spacing w:after="120" w:line="276" w:lineRule="auto"/>
        <w:jc w:val="both"/>
      </w:pPr>
      <w:r>
        <w:rPr>
          <w:color w:val="000000"/>
        </w:rPr>
        <w:t>Pour donner un ordre de grandeur concret, voici ce que produit une unité de valorisation thermochimique traitant 100 000 tonnes par an de biomasse résiduelle forestière sèche :</w:t>
      </w:r>
    </w:p>
    <w:p w:rsidR="00CD446B" w:rsidRDefault="00CD446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800"/>
      </w:tblGrid>
      <w:tr w:rsidR="00CD446B">
        <w:tblPrEx>
          <w:tblCellMar>
            <w:top w:w="0" w:type="dxa"/>
            <w:bottom w:w="0" w:type="dxa"/>
          </w:tblCellMar>
        </w:tblPrEx>
        <w:tc>
          <w:tcPr>
            <w:tcW w:w="3600" w:type="dxa"/>
            <w:shd w:val="clear" w:color="auto" w:fill="1F3864"/>
            <w:tcMar>
              <w:top w:w="100" w:type="dxa"/>
              <w:left w:w="140" w:type="dxa"/>
              <w:bottom w:w="100" w:type="dxa"/>
              <w:right w:w="140" w:type="dxa"/>
            </w:tcMar>
          </w:tcPr>
          <w:p w:rsidR="00CD446B" w:rsidRDefault="004521BA">
            <w:pPr>
              <w:jc w:val="center"/>
            </w:pPr>
            <w:r>
              <w:rPr>
                <w:b/>
                <w:bCs/>
                <w:color w:val="FFFFFF"/>
                <w:sz w:val="20"/>
                <w:szCs w:val="20"/>
              </w:rPr>
              <w:t>Résultat</w:t>
            </w:r>
          </w:p>
        </w:tc>
        <w:tc>
          <w:tcPr>
            <w:tcW w:w="2800" w:type="dxa"/>
            <w:shd w:val="clear" w:color="auto" w:fill="1F3864"/>
            <w:tcMar>
              <w:top w:w="100" w:type="dxa"/>
              <w:left w:w="140" w:type="dxa"/>
              <w:bottom w:w="100" w:type="dxa"/>
              <w:right w:w="140" w:type="dxa"/>
            </w:tcMar>
          </w:tcPr>
          <w:p w:rsidR="00CD446B" w:rsidRDefault="004521BA">
            <w:pPr>
              <w:jc w:val="center"/>
            </w:pPr>
            <w:r>
              <w:rPr>
                <w:b/>
                <w:bCs/>
                <w:color w:val="FFFFFF"/>
                <w:sz w:val="20"/>
                <w:szCs w:val="20"/>
              </w:rPr>
              <w:t>Quantité estimée</w:t>
            </w:r>
          </w:p>
        </w:tc>
        <w:tc>
          <w:tcPr>
            <w:tcW w:w="2800" w:type="dxa"/>
            <w:shd w:val="clear" w:color="auto" w:fill="1F3864"/>
            <w:tcMar>
              <w:top w:w="100" w:type="dxa"/>
              <w:left w:w="140" w:type="dxa"/>
              <w:bottom w:w="100" w:type="dxa"/>
              <w:right w:w="140" w:type="dxa"/>
            </w:tcMar>
          </w:tcPr>
          <w:p w:rsidR="00CD446B" w:rsidRDefault="004521BA">
            <w:pPr>
              <w:jc w:val="center"/>
            </w:pPr>
            <w:r>
              <w:rPr>
                <w:b/>
                <w:bCs/>
                <w:color w:val="FFFFFF"/>
                <w:sz w:val="20"/>
                <w:szCs w:val="20"/>
              </w:rPr>
              <w:t>Impact</w:t>
            </w:r>
          </w:p>
        </w:tc>
      </w:tr>
      <w:tr w:rsidR="00CD446B">
        <w:tblPrEx>
          <w:tblCellMar>
            <w:top w:w="0" w:type="dxa"/>
            <w:bottom w:w="0" w:type="dxa"/>
          </w:tblCellMar>
        </w:tblPrEx>
        <w:tc>
          <w:tcPr>
            <w:tcW w:w="3600" w:type="dxa"/>
            <w:shd w:val="clear" w:color="auto" w:fill="E2EFDA"/>
            <w:tcMar>
              <w:top w:w="80" w:type="dxa"/>
              <w:left w:w="140" w:type="dxa"/>
              <w:bottom w:w="80" w:type="dxa"/>
              <w:right w:w="140" w:type="dxa"/>
            </w:tcMar>
          </w:tcPr>
          <w:p w:rsidR="00CD446B" w:rsidRDefault="004521BA">
            <w:r>
              <w:rPr>
                <w:b/>
                <w:bCs/>
                <w:color w:val="1F6B3C"/>
                <w:sz w:val="20"/>
                <w:szCs w:val="20"/>
              </w:rPr>
              <w:t>Réduction combustible forestier</w:t>
            </w:r>
          </w:p>
        </w:tc>
        <w:tc>
          <w:tcPr>
            <w:tcW w:w="2800" w:type="dxa"/>
            <w:shd w:val="clear" w:color="auto" w:fill="E2EFDA"/>
            <w:tcMar>
              <w:top w:w="80" w:type="dxa"/>
              <w:left w:w="140" w:type="dxa"/>
              <w:bottom w:w="80" w:type="dxa"/>
              <w:right w:w="140" w:type="dxa"/>
            </w:tcMar>
          </w:tcPr>
          <w:p w:rsidR="00CD446B" w:rsidRDefault="004521BA">
            <w:r>
              <w:rPr>
                <w:color w:val="000000"/>
                <w:sz w:val="20"/>
                <w:szCs w:val="20"/>
              </w:rPr>
              <w:t>~3 000 à 5 000 ha entretenus/an</w:t>
            </w:r>
          </w:p>
        </w:tc>
        <w:tc>
          <w:tcPr>
            <w:tcW w:w="2800" w:type="dxa"/>
            <w:shd w:val="clear" w:color="auto" w:fill="E2EFDA"/>
            <w:tcMar>
              <w:top w:w="80" w:type="dxa"/>
              <w:left w:w="140" w:type="dxa"/>
              <w:bottom w:w="80" w:type="dxa"/>
              <w:right w:w="140" w:type="dxa"/>
            </w:tcMar>
          </w:tcPr>
          <w:p w:rsidR="00CD446B" w:rsidRDefault="004521BA">
            <w:r>
              <w:rPr>
                <w:color w:val="000000"/>
                <w:sz w:val="20"/>
                <w:szCs w:val="20"/>
              </w:rPr>
              <w:t>Risque incendie structurellement réduit</w:t>
            </w:r>
          </w:p>
        </w:tc>
      </w:tr>
      <w:tr w:rsidR="00CD446B">
        <w:tblPrEx>
          <w:tblCellMar>
            <w:top w:w="0" w:type="dxa"/>
            <w:bottom w:w="0" w:type="dxa"/>
          </w:tblCellMar>
        </w:tblPrEx>
        <w:tc>
          <w:tcPr>
            <w:tcW w:w="3600" w:type="dxa"/>
            <w:shd w:val="clear" w:color="auto" w:fill="F0F7EC"/>
            <w:tcMar>
              <w:top w:w="80" w:type="dxa"/>
              <w:left w:w="140" w:type="dxa"/>
              <w:bottom w:w="80" w:type="dxa"/>
              <w:right w:w="140" w:type="dxa"/>
            </w:tcMar>
          </w:tcPr>
          <w:p w:rsidR="00CD446B" w:rsidRDefault="004521BA">
            <w:r>
              <w:rPr>
                <w:b/>
                <w:bCs/>
                <w:color w:val="1F6B3C"/>
                <w:sz w:val="20"/>
                <w:szCs w:val="20"/>
              </w:rPr>
              <w:t>Bio-CH₄ produit</w:t>
            </w:r>
          </w:p>
        </w:tc>
        <w:tc>
          <w:tcPr>
            <w:tcW w:w="2800" w:type="dxa"/>
            <w:shd w:val="clear" w:color="auto" w:fill="F0F7EC"/>
            <w:tcMar>
              <w:top w:w="80" w:type="dxa"/>
              <w:left w:w="140" w:type="dxa"/>
              <w:bottom w:w="80" w:type="dxa"/>
              <w:right w:w="140" w:type="dxa"/>
            </w:tcMar>
          </w:tcPr>
          <w:p w:rsidR="00CD446B" w:rsidRDefault="004521BA">
            <w:r>
              <w:rPr>
                <w:color w:val="000000"/>
                <w:sz w:val="20"/>
                <w:szCs w:val="20"/>
              </w:rPr>
              <w:t xml:space="preserve">~250 à 300 </w:t>
            </w:r>
            <w:proofErr w:type="spellStart"/>
            <w:r>
              <w:rPr>
                <w:color w:val="000000"/>
                <w:sz w:val="20"/>
                <w:szCs w:val="20"/>
              </w:rPr>
              <w:t>GWh</w:t>
            </w:r>
            <w:proofErr w:type="spellEnd"/>
            <w:r>
              <w:rPr>
                <w:color w:val="000000"/>
                <w:sz w:val="20"/>
                <w:szCs w:val="20"/>
              </w:rPr>
              <w:t>/an</w:t>
            </w:r>
          </w:p>
        </w:tc>
        <w:tc>
          <w:tcPr>
            <w:tcW w:w="2800" w:type="dxa"/>
            <w:shd w:val="clear" w:color="auto" w:fill="F0F7EC"/>
            <w:tcMar>
              <w:top w:w="80" w:type="dxa"/>
              <w:left w:w="140" w:type="dxa"/>
              <w:bottom w:w="80" w:type="dxa"/>
              <w:right w:w="140" w:type="dxa"/>
            </w:tcMar>
          </w:tcPr>
          <w:p w:rsidR="00CD446B" w:rsidRDefault="004521BA">
            <w:r>
              <w:rPr>
                <w:color w:val="000000"/>
                <w:sz w:val="20"/>
                <w:szCs w:val="20"/>
              </w:rPr>
              <w:t>~45 000 à 54 000 t CO₂ fossile évités/an</w:t>
            </w:r>
          </w:p>
        </w:tc>
      </w:tr>
      <w:tr w:rsidR="00CD446B">
        <w:tblPrEx>
          <w:tblCellMar>
            <w:top w:w="0" w:type="dxa"/>
            <w:bottom w:w="0" w:type="dxa"/>
          </w:tblCellMar>
        </w:tblPrEx>
        <w:tc>
          <w:tcPr>
            <w:tcW w:w="3600" w:type="dxa"/>
            <w:shd w:val="clear" w:color="auto" w:fill="E2EFDA"/>
            <w:tcMar>
              <w:top w:w="80" w:type="dxa"/>
              <w:left w:w="140" w:type="dxa"/>
              <w:bottom w:w="80" w:type="dxa"/>
              <w:right w:w="140" w:type="dxa"/>
            </w:tcMar>
          </w:tcPr>
          <w:p w:rsidR="00CD446B" w:rsidRDefault="004521BA">
            <w:proofErr w:type="spellStart"/>
            <w:r>
              <w:rPr>
                <w:b/>
                <w:bCs/>
                <w:color w:val="1F6B3C"/>
                <w:sz w:val="20"/>
                <w:szCs w:val="20"/>
              </w:rPr>
              <w:t>Biochar</w:t>
            </w:r>
            <w:proofErr w:type="spellEnd"/>
            <w:r>
              <w:rPr>
                <w:b/>
                <w:bCs/>
                <w:color w:val="1F6B3C"/>
                <w:sz w:val="20"/>
                <w:szCs w:val="20"/>
              </w:rPr>
              <w:t xml:space="preserve"> produit</w:t>
            </w:r>
          </w:p>
        </w:tc>
        <w:tc>
          <w:tcPr>
            <w:tcW w:w="2800" w:type="dxa"/>
            <w:shd w:val="clear" w:color="auto" w:fill="E2EFDA"/>
            <w:tcMar>
              <w:top w:w="80" w:type="dxa"/>
              <w:left w:w="140" w:type="dxa"/>
              <w:bottom w:w="80" w:type="dxa"/>
              <w:right w:w="140" w:type="dxa"/>
            </w:tcMar>
          </w:tcPr>
          <w:p w:rsidR="00CD446B" w:rsidRDefault="004521BA">
            <w:r>
              <w:rPr>
                <w:color w:val="000000"/>
                <w:sz w:val="20"/>
                <w:szCs w:val="20"/>
              </w:rPr>
              <w:t>~20 000 à 25 000 t/an</w:t>
            </w:r>
          </w:p>
        </w:tc>
        <w:tc>
          <w:tcPr>
            <w:tcW w:w="2800" w:type="dxa"/>
            <w:shd w:val="clear" w:color="auto" w:fill="E2EFDA"/>
            <w:tcMar>
              <w:top w:w="80" w:type="dxa"/>
              <w:left w:w="140" w:type="dxa"/>
              <w:bottom w:w="80" w:type="dxa"/>
              <w:right w:w="140" w:type="dxa"/>
            </w:tcMar>
          </w:tcPr>
          <w:p w:rsidR="00CD446B" w:rsidRDefault="004521BA">
            <w:r>
              <w:rPr>
                <w:color w:val="000000"/>
                <w:sz w:val="20"/>
                <w:szCs w:val="20"/>
              </w:rPr>
              <w:t>~55 000 à 75 000 t CO₂ séquestrés/an</w:t>
            </w:r>
          </w:p>
        </w:tc>
      </w:tr>
      <w:tr w:rsidR="00CD446B">
        <w:tblPrEx>
          <w:tblCellMar>
            <w:top w:w="0" w:type="dxa"/>
            <w:bottom w:w="0" w:type="dxa"/>
          </w:tblCellMar>
        </w:tblPrEx>
        <w:tc>
          <w:tcPr>
            <w:tcW w:w="3600" w:type="dxa"/>
            <w:shd w:val="clear" w:color="auto" w:fill="F0F7EC"/>
            <w:tcMar>
              <w:top w:w="80" w:type="dxa"/>
              <w:left w:w="140" w:type="dxa"/>
              <w:bottom w:w="80" w:type="dxa"/>
              <w:right w:w="140" w:type="dxa"/>
            </w:tcMar>
          </w:tcPr>
          <w:p w:rsidR="00CD446B" w:rsidRDefault="004521BA">
            <w:r>
              <w:rPr>
                <w:b/>
                <w:bCs/>
                <w:color w:val="1F6B3C"/>
                <w:sz w:val="20"/>
                <w:szCs w:val="20"/>
              </w:rPr>
              <w:t>CO₂ biogénique capturé</w:t>
            </w:r>
          </w:p>
        </w:tc>
        <w:tc>
          <w:tcPr>
            <w:tcW w:w="2800" w:type="dxa"/>
            <w:shd w:val="clear" w:color="auto" w:fill="F0F7EC"/>
            <w:tcMar>
              <w:top w:w="80" w:type="dxa"/>
              <w:left w:w="140" w:type="dxa"/>
              <w:bottom w:w="80" w:type="dxa"/>
              <w:right w:w="140" w:type="dxa"/>
            </w:tcMar>
          </w:tcPr>
          <w:p w:rsidR="00CD446B" w:rsidRDefault="004521BA">
            <w:r>
              <w:rPr>
                <w:color w:val="000000"/>
                <w:sz w:val="20"/>
                <w:szCs w:val="20"/>
              </w:rPr>
              <w:t>~60 000 à 80 000 t/an</w:t>
            </w:r>
          </w:p>
        </w:tc>
        <w:tc>
          <w:tcPr>
            <w:tcW w:w="2800" w:type="dxa"/>
            <w:shd w:val="clear" w:color="auto" w:fill="F0F7EC"/>
            <w:tcMar>
              <w:top w:w="80" w:type="dxa"/>
              <w:left w:w="140" w:type="dxa"/>
              <w:bottom w:w="80" w:type="dxa"/>
              <w:right w:w="140" w:type="dxa"/>
            </w:tcMar>
          </w:tcPr>
          <w:p w:rsidR="00CD446B" w:rsidRDefault="004521BA">
            <w:r>
              <w:rPr>
                <w:color w:val="000000"/>
                <w:sz w:val="20"/>
                <w:szCs w:val="20"/>
              </w:rPr>
              <w:t>Stockage ou valorisation possible</w:t>
            </w:r>
          </w:p>
        </w:tc>
      </w:tr>
      <w:tr w:rsidR="00CD446B">
        <w:tblPrEx>
          <w:tblCellMar>
            <w:top w:w="0" w:type="dxa"/>
            <w:bottom w:w="0" w:type="dxa"/>
          </w:tblCellMar>
        </w:tblPrEx>
        <w:tc>
          <w:tcPr>
            <w:tcW w:w="3600" w:type="dxa"/>
            <w:shd w:val="clear" w:color="auto" w:fill="E2EFDA"/>
            <w:tcMar>
              <w:top w:w="80" w:type="dxa"/>
              <w:left w:w="140" w:type="dxa"/>
              <w:bottom w:w="80" w:type="dxa"/>
              <w:right w:w="140" w:type="dxa"/>
            </w:tcMar>
          </w:tcPr>
          <w:p w:rsidR="00CD446B" w:rsidRDefault="004521BA">
            <w:r>
              <w:rPr>
                <w:b/>
                <w:bCs/>
                <w:color w:val="1F6B3C"/>
                <w:sz w:val="20"/>
                <w:szCs w:val="20"/>
              </w:rPr>
              <w:t>Emplois directs créés</w:t>
            </w:r>
          </w:p>
        </w:tc>
        <w:tc>
          <w:tcPr>
            <w:tcW w:w="2800" w:type="dxa"/>
            <w:shd w:val="clear" w:color="auto" w:fill="E2EFDA"/>
            <w:tcMar>
              <w:top w:w="80" w:type="dxa"/>
              <w:left w:w="140" w:type="dxa"/>
              <w:bottom w:w="80" w:type="dxa"/>
              <w:right w:w="140" w:type="dxa"/>
            </w:tcMar>
          </w:tcPr>
          <w:p w:rsidR="00CD446B" w:rsidRDefault="004521BA">
            <w:r>
              <w:rPr>
                <w:color w:val="000000"/>
                <w:sz w:val="20"/>
                <w:szCs w:val="20"/>
              </w:rPr>
              <w:t>~150 à 250 ETP (dépend de la mécanisation)</w:t>
            </w:r>
          </w:p>
        </w:tc>
        <w:tc>
          <w:tcPr>
            <w:tcW w:w="2800" w:type="dxa"/>
            <w:shd w:val="clear" w:color="auto" w:fill="E2EFDA"/>
            <w:tcMar>
              <w:top w:w="80" w:type="dxa"/>
              <w:left w:w="140" w:type="dxa"/>
              <w:bottom w:w="80" w:type="dxa"/>
              <w:right w:w="140" w:type="dxa"/>
            </w:tcMar>
          </w:tcPr>
          <w:p w:rsidR="00CD446B" w:rsidRDefault="004521BA">
            <w:r>
              <w:rPr>
                <w:color w:val="000000"/>
                <w:sz w:val="20"/>
                <w:szCs w:val="20"/>
              </w:rPr>
              <w:t>Revitalisation des territoires ruraux</w:t>
            </w:r>
          </w:p>
        </w:tc>
      </w:tr>
    </w:tbl>
    <w:p w:rsidR="00CD446B" w:rsidRDefault="00CD446B">
      <w:pPr>
        <w:spacing w:after="80"/>
      </w:pPr>
    </w:p>
    <w:p w:rsidR="00CD446B" w:rsidRDefault="004521BA">
      <w:pPr>
        <w:spacing w:after="120" w:line="276" w:lineRule="auto"/>
        <w:jc w:val="both"/>
      </w:pPr>
      <w:r>
        <w:rPr>
          <w:color w:val="000000"/>
        </w:rPr>
        <w:t xml:space="preserve">Ces chiffres sont des ordres de grandeur indicatifs fondés sur les rendements documentés de la </w:t>
      </w:r>
      <w:proofErr w:type="spellStart"/>
      <w:r>
        <w:rPr>
          <w:color w:val="000000"/>
        </w:rPr>
        <w:t>pyrogasification</w:t>
      </w:r>
      <w:proofErr w:type="spellEnd"/>
      <w:r>
        <w:rPr>
          <w:color w:val="000000"/>
        </w:rPr>
        <w:t xml:space="preserve"> à l'échelle industrielle. Ils illustrent la logique de la filière sans constituer un engagement de performance.</w:t>
      </w:r>
    </w:p>
    <w:p w:rsidR="00CD446B" w:rsidRDefault="004521BA">
      <w:pPr>
        <w:pStyle w:val="Titre2"/>
      </w:pPr>
      <w:r>
        <w:t>4.6 Transformer le coût de préve</w:t>
      </w:r>
      <w:r>
        <w:t>ntion en ressource économique</w:t>
      </w:r>
    </w:p>
    <w:p w:rsidR="00CD446B" w:rsidRDefault="004521BA">
      <w:pPr>
        <w:spacing w:after="120" w:line="276" w:lineRule="auto"/>
        <w:jc w:val="both"/>
      </w:pPr>
      <w:r>
        <w:rPr>
          <w:color w:val="000000"/>
        </w:rPr>
        <w:t>Aujourd'hui, le débroussaillage et la sylviculture préventive représentent un coût net pour les collectivités et les propriétaires forestiers — une charge sans contrepartie économique directe, ce qui explique leur sous-finance</w:t>
      </w:r>
      <w:r>
        <w:rPr>
          <w:color w:val="000000"/>
        </w:rPr>
        <w:t>ment chronique.</w:t>
      </w:r>
    </w:p>
    <w:p w:rsidR="00CD446B" w:rsidRDefault="004521BA">
      <w:pPr>
        <w:spacing w:after="120" w:line="276" w:lineRule="auto"/>
        <w:jc w:val="both"/>
      </w:pPr>
      <w:r>
        <w:rPr>
          <w:color w:val="000000"/>
        </w:rPr>
        <w:t>La valorisation thermochimique renverse cette logique : chaque tonne de bois prélevée en forêt pour réduire le risque incendie devient une matière première à valeur économique positive. Trois flux de revenus cumulables — vente de bio-CH₄, v</w:t>
      </w:r>
      <w:r>
        <w:rPr>
          <w:color w:val="000000"/>
        </w:rPr>
        <w:t xml:space="preserve">ente de </w:t>
      </w:r>
      <w:proofErr w:type="spellStart"/>
      <w:r>
        <w:rPr>
          <w:color w:val="000000"/>
        </w:rPr>
        <w:t>biochar</w:t>
      </w:r>
      <w:proofErr w:type="spellEnd"/>
      <w:r>
        <w:rPr>
          <w:color w:val="000000"/>
        </w:rPr>
        <w:t xml:space="preserve">, crédits carbone pouvant être associés à la séquestration permanente — rendent le modèle attractif pour des partenariats public-privé sans asphyxier les finances publiques. C'est le levier économique structurant le plus puissant disponible </w:t>
      </w:r>
      <w:r>
        <w:rPr>
          <w:color w:val="000000"/>
        </w:rPr>
        <w:t>: transformer une externalité négative (bois mort accumulé = risque) en ressource positive (biomasse = énergie + carbone séquestré).</w:t>
      </w:r>
      <w:r>
        <w:rPr>
          <w:color w:val="000000"/>
        </w:rPr>
        <w:t xml:space="preserve"> Ce potentiel doit être mobilisé dans le respect des seuils écologiques de maintien de la biodiversité des sols et de la </w:t>
      </w:r>
      <w:proofErr w:type="spellStart"/>
      <w:r>
        <w:rPr>
          <w:color w:val="000000"/>
        </w:rPr>
        <w:t>néc</w:t>
      </w:r>
      <w:r>
        <w:rPr>
          <w:color w:val="000000"/>
        </w:rPr>
        <w:t>romasse</w:t>
      </w:r>
      <w:proofErr w:type="spellEnd"/>
      <w:r>
        <w:rPr>
          <w:color w:val="000000"/>
        </w:rPr>
        <w:t xml:space="preserve"> nécessaire aux écosystèmes forestiers — condition qui </w:t>
      </w:r>
      <w:proofErr w:type="gramStart"/>
      <w:r>
        <w:rPr>
          <w:color w:val="000000"/>
        </w:rPr>
        <w:t>définit</w:t>
      </w:r>
      <w:proofErr w:type="gramEnd"/>
      <w:r>
        <w:rPr>
          <w:color w:val="000000"/>
        </w:rPr>
        <w:t xml:space="preserve"> la notion même de « résidu mobilisable ».</w:t>
      </w:r>
    </w:p>
    <w:p w:rsidR="00CD446B" w:rsidRDefault="00CD446B">
      <w:pPr>
        <w:spacing w:after="80"/>
      </w:pPr>
    </w:p>
    <w:p w:rsidR="00CD446B" w:rsidRDefault="004521BA">
      <w:pPr>
        <w:pStyle w:val="Titre1"/>
        <w:pBdr>
          <w:bottom w:val="single" w:sz="12" w:space="4" w:color="C55A11"/>
        </w:pBdr>
      </w:pPr>
      <w:r>
        <w:t>5. Un changement de paradigme complet</w:t>
      </w:r>
    </w:p>
    <w:p w:rsidR="00CD446B" w:rsidRDefault="004521BA">
      <w:pPr>
        <w:spacing w:after="120" w:line="276" w:lineRule="auto"/>
        <w:jc w:val="both"/>
      </w:pPr>
      <w:r>
        <w:rPr>
          <w:color w:val="000000"/>
        </w:rPr>
        <w:t>La gestion des incendies est aujourd'hui prisonnière d'un double paradigme réactif : on attend l'incendie</w:t>
      </w:r>
      <w:r>
        <w:rPr>
          <w:color w:val="000000"/>
        </w:rPr>
        <w:t xml:space="preserve"> pour intervenir (lutte), et quand on agit en prévention, on brûle la biomasse à perte (brûlis). Les deux approches traitent la biomasse comme un problème à éliminer.</w:t>
      </w:r>
    </w:p>
    <w:p w:rsidR="00CD446B" w:rsidRDefault="004521BA">
      <w:pPr>
        <w:spacing w:after="120" w:line="276" w:lineRule="auto"/>
        <w:jc w:val="both"/>
      </w:pPr>
      <w:r>
        <w:rPr>
          <w:color w:val="000000"/>
        </w:rPr>
        <w:t>Le paradigme émergent — et seul cohérent avec les enjeux climatiques et énergétiques du X</w:t>
      </w:r>
      <w:r>
        <w:rPr>
          <w:color w:val="000000"/>
        </w:rPr>
        <w:t>XIe siècle — traite la biomasse résiduelle forestière comme une ressource stratégique à valoriser. La prévention incendie n'est plus un coût environnemental supplémentaire : elle devient la première étape d'une chaîne de valeur énergétique, climatique et é</w:t>
      </w:r>
      <w:r>
        <w:rPr>
          <w:color w:val="000000"/>
        </w:rPr>
        <w:t>conomique.</w:t>
      </w:r>
    </w:p>
    <w:p w:rsidR="00CD446B" w:rsidRDefault="00CD446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CD446B">
        <w:tblPrEx>
          <w:tblCellMar>
            <w:top w:w="0" w:type="dxa"/>
            <w:bottom w:w="0" w:type="dxa"/>
          </w:tblCellMar>
        </w:tblPrEx>
        <w:tc>
          <w:tcPr>
            <w:tcW w:w="9200" w:type="dxa"/>
            <w:shd w:val="clear" w:color="auto" w:fill="F2F2F2"/>
            <w:tcMar>
              <w:top w:w="140" w:type="dxa"/>
              <w:left w:w="220" w:type="dxa"/>
              <w:bottom w:w="140" w:type="dxa"/>
              <w:right w:w="220" w:type="dxa"/>
            </w:tcMar>
          </w:tcPr>
          <w:p w:rsidR="00CD446B" w:rsidRDefault="004521BA">
            <w:pPr>
              <w:spacing w:after="80" w:line="260" w:lineRule="auto"/>
              <w:ind w:left="144" w:right="144"/>
              <w:jc w:val="both"/>
            </w:pPr>
            <w:r>
              <w:rPr>
                <w:b/>
                <w:bCs/>
                <w:color w:val="1F3864"/>
                <w:sz w:val="21"/>
                <w:szCs w:val="21"/>
              </w:rPr>
              <w:t>Synthèse du changement de paradigme :</w:t>
            </w:r>
          </w:p>
          <w:p w:rsidR="00CD446B" w:rsidRDefault="00CD446B">
            <w:pPr>
              <w:spacing w:after="40" w:line="260" w:lineRule="auto"/>
              <w:ind w:left="144" w:right="144"/>
              <w:jc w:val="both"/>
            </w:pPr>
          </w:p>
          <w:p w:rsidR="00CD446B" w:rsidRDefault="004521BA">
            <w:pPr>
              <w:spacing w:after="80" w:line="260" w:lineRule="auto"/>
              <w:ind w:left="144" w:right="144"/>
              <w:jc w:val="both"/>
            </w:pPr>
            <w:r>
              <w:rPr>
                <w:color w:val="000000"/>
                <w:sz w:val="21"/>
                <w:szCs w:val="21"/>
              </w:rPr>
              <w:t>Paradigme actuel :   biomasse = problème  →  suppression (lutte) ou élimination (brûlis).</w:t>
            </w:r>
          </w:p>
          <w:p w:rsidR="00CD446B" w:rsidRDefault="004521BA">
            <w:pPr>
              <w:spacing w:after="80" w:line="260" w:lineRule="auto"/>
              <w:ind w:left="144" w:right="144"/>
              <w:jc w:val="both"/>
            </w:pPr>
            <w:r>
              <w:rPr>
                <w:color w:val="000000"/>
                <w:sz w:val="21"/>
                <w:szCs w:val="21"/>
              </w:rPr>
              <w:t xml:space="preserve">Nouveau paradigme </w:t>
            </w:r>
            <w:proofErr w:type="gramStart"/>
            <w:r>
              <w:rPr>
                <w:color w:val="000000"/>
                <w:sz w:val="21"/>
                <w:szCs w:val="21"/>
              </w:rPr>
              <w:t>:  biomasse</w:t>
            </w:r>
            <w:proofErr w:type="gramEnd"/>
            <w:r>
              <w:rPr>
                <w:color w:val="000000"/>
                <w:sz w:val="21"/>
                <w:szCs w:val="21"/>
              </w:rPr>
              <w:t xml:space="preserve"> = ressource stratégique  →  valorisation (bio-CH₄ + </w:t>
            </w:r>
            <w:proofErr w:type="spellStart"/>
            <w:r>
              <w:rPr>
                <w:color w:val="000000"/>
                <w:sz w:val="21"/>
                <w:szCs w:val="21"/>
              </w:rPr>
              <w:t>biochar</w:t>
            </w:r>
            <w:proofErr w:type="spellEnd"/>
            <w:r>
              <w:rPr>
                <w:color w:val="000000"/>
                <w:sz w:val="21"/>
                <w:szCs w:val="21"/>
              </w:rPr>
              <w:t xml:space="preserve"> + CO₂ biogénique).</w:t>
            </w:r>
          </w:p>
          <w:p w:rsidR="00CD446B" w:rsidRDefault="00CD446B">
            <w:pPr>
              <w:spacing w:after="40" w:line="260" w:lineRule="auto"/>
              <w:ind w:left="144" w:right="144"/>
              <w:jc w:val="both"/>
            </w:pPr>
          </w:p>
          <w:p w:rsidR="00CD446B" w:rsidRDefault="004521BA">
            <w:pPr>
              <w:spacing w:after="80" w:line="260" w:lineRule="auto"/>
              <w:ind w:left="144" w:right="144"/>
              <w:jc w:val="both"/>
            </w:pPr>
            <w:r>
              <w:rPr>
                <w:color w:val="000000"/>
                <w:sz w:val="21"/>
                <w:szCs w:val="21"/>
              </w:rPr>
              <w:t>Résultat : la même tonne de bois qui causait un incendie catastrophique</w:t>
            </w:r>
          </w:p>
          <w:p w:rsidR="00CD446B" w:rsidRDefault="004521BA">
            <w:pPr>
              <w:spacing w:after="80" w:line="260" w:lineRule="auto"/>
              <w:ind w:left="144" w:right="144"/>
              <w:jc w:val="both"/>
            </w:pPr>
            <w:r>
              <w:rPr>
                <w:color w:val="000000"/>
                <w:sz w:val="21"/>
                <w:szCs w:val="21"/>
              </w:rPr>
              <w:t xml:space="preserve">produit désormais de l'énergie renouvelable pour des usages non </w:t>
            </w:r>
            <w:proofErr w:type="spellStart"/>
            <w:r>
              <w:rPr>
                <w:color w:val="000000"/>
                <w:sz w:val="21"/>
                <w:szCs w:val="21"/>
              </w:rPr>
              <w:t>électrifiables</w:t>
            </w:r>
            <w:proofErr w:type="spellEnd"/>
            <w:r>
              <w:rPr>
                <w:color w:val="000000"/>
                <w:sz w:val="21"/>
                <w:szCs w:val="21"/>
              </w:rPr>
              <w:t>,</w:t>
            </w:r>
          </w:p>
          <w:p w:rsidR="00CD446B" w:rsidRDefault="004521BA">
            <w:pPr>
              <w:spacing w:after="80" w:line="260" w:lineRule="auto"/>
              <w:ind w:left="144" w:right="144"/>
              <w:jc w:val="both"/>
            </w:pPr>
            <w:r>
              <w:rPr>
                <w:color w:val="000000"/>
                <w:sz w:val="21"/>
                <w:szCs w:val="21"/>
              </w:rPr>
              <w:t>séquestre du carbone dans les sols pendant plusieurs siècles à plusieurs millénaires,</w:t>
            </w:r>
          </w:p>
          <w:p w:rsidR="00CD446B" w:rsidRDefault="004521BA">
            <w:pPr>
              <w:spacing w:after="80" w:line="260" w:lineRule="auto"/>
              <w:ind w:left="144" w:right="144"/>
              <w:jc w:val="both"/>
            </w:pPr>
            <w:r>
              <w:rPr>
                <w:color w:val="000000"/>
                <w:sz w:val="21"/>
                <w:szCs w:val="21"/>
              </w:rPr>
              <w:t>et restaure les te</w:t>
            </w:r>
            <w:r>
              <w:rPr>
                <w:color w:val="000000"/>
                <w:sz w:val="21"/>
                <w:szCs w:val="21"/>
              </w:rPr>
              <w:t>rritoires ruraux — sans émission nette.</w:t>
            </w:r>
          </w:p>
        </w:tc>
      </w:tr>
    </w:tbl>
    <w:p w:rsidR="00CD446B" w:rsidRDefault="00CD446B">
      <w:pPr>
        <w:spacing w:after="80"/>
      </w:pPr>
    </w:p>
    <w:p w:rsidR="00CD446B" w:rsidRDefault="004521BA">
      <w:pPr>
        <w:pStyle w:val="Titre1"/>
        <w:pBdr>
          <w:bottom w:val="single" w:sz="12" w:space="4" w:color="C55A11"/>
        </w:pBdr>
      </w:pPr>
      <w:r>
        <w:t>Conclusion</w:t>
      </w:r>
    </w:p>
    <w:p w:rsidR="00CD446B" w:rsidRDefault="004521BA">
      <w:pPr>
        <w:spacing w:after="120" w:line="276" w:lineRule="auto"/>
        <w:jc w:val="both"/>
      </w:pPr>
      <w:r>
        <w:rPr>
          <w:color w:val="000000"/>
        </w:rPr>
        <w:t>Les méga-incendies ne sont pas seulement une catastrophe à combattre ; ils révèlent une défaillance structurelle de notre gestion du combustible forestier. Tant que cette biomasse sera considérée comme un déchet à éliminer plutôt que comme une ressource st</w:t>
      </w:r>
      <w:r>
        <w:rPr>
          <w:color w:val="000000"/>
        </w:rPr>
        <w:t>ratégique à valoriser, les politiques publiques resteront principalement réactives — coûteuses, insuffisantes, et climatiquement contre-productives.</w:t>
      </w:r>
    </w:p>
    <w:p w:rsidR="00CD446B" w:rsidRDefault="004521BA">
      <w:pPr>
        <w:spacing w:after="120" w:line="276" w:lineRule="auto"/>
        <w:jc w:val="both"/>
      </w:pPr>
      <w:r>
        <w:rPr>
          <w:color w:val="000000"/>
        </w:rPr>
        <w:t>Inversement, faire de cette biomasse une matière première transforme simultanément quatre dimensions : la p</w:t>
      </w:r>
      <w:r>
        <w:rPr>
          <w:color w:val="000000"/>
        </w:rPr>
        <w:t xml:space="preserve">révention des incendies, la production d'énergie renouvelable pour les usages non </w:t>
      </w:r>
      <w:proofErr w:type="spellStart"/>
      <w:r>
        <w:rPr>
          <w:color w:val="000000"/>
        </w:rPr>
        <w:t>électrifiables</w:t>
      </w:r>
      <w:proofErr w:type="spellEnd"/>
      <w:r>
        <w:rPr>
          <w:color w:val="000000"/>
        </w:rPr>
        <w:t>, la séquestration du carbone, et le développement économique des territoires ruraux.</w:t>
      </w:r>
    </w:p>
    <w:p w:rsidR="00CD446B" w:rsidRDefault="004521BA">
      <w:pPr>
        <w:spacing w:after="120" w:line="276" w:lineRule="auto"/>
        <w:jc w:val="both"/>
      </w:pPr>
      <w:r>
        <w:rPr>
          <w:color w:val="000000"/>
        </w:rPr>
        <w:t>Trois grandes orientations s'imposent pour une politique publique cohérent</w:t>
      </w:r>
      <w:r>
        <w:rPr>
          <w:color w:val="000000"/>
        </w:rPr>
        <w:t>e avec cet enjeu :</w:t>
      </w:r>
    </w:p>
    <w:p w:rsidR="00CD446B" w:rsidRDefault="004521BA">
      <w:pPr>
        <w:pStyle w:val="Paragraphedeliste"/>
        <w:numPr>
          <w:ilvl w:val="0"/>
          <w:numId w:val="1"/>
        </w:numPr>
        <w:spacing w:after="100" w:line="276" w:lineRule="auto"/>
        <w:jc w:val="both"/>
      </w:pPr>
      <w:r>
        <w:rPr>
          <w:b/>
          <w:bCs/>
          <w:color w:val="000000"/>
        </w:rPr>
        <w:t xml:space="preserve">Rééquilibrer les dépenses </w:t>
      </w:r>
      <w:r>
        <w:rPr>
          <w:color w:val="000000"/>
        </w:rPr>
        <w:t>de la suppression vers la prévention structurelle du combustible.</w:t>
      </w:r>
    </w:p>
    <w:p w:rsidR="00CD446B" w:rsidRDefault="004521BA">
      <w:pPr>
        <w:pStyle w:val="Paragraphedeliste"/>
        <w:numPr>
          <w:ilvl w:val="0"/>
          <w:numId w:val="1"/>
        </w:numPr>
        <w:spacing w:after="100" w:line="276" w:lineRule="auto"/>
        <w:jc w:val="both"/>
      </w:pPr>
      <w:r>
        <w:rPr>
          <w:b/>
          <w:bCs/>
          <w:color w:val="000000"/>
        </w:rPr>
        <w:t xml:space="preserve">Créer des filières de valorisation thermochimique </w:t>
      </w:r>
      <w:r>
        <w:rPr>
          <w:color w:val="000000"/>
        </w:rPr>
        <w:t xml:space="preserve">de la biomasse résiduelle forestière, rendant le débroussaillage économiquement attractif pour </w:t>
      </w:r>
      <w:r>
        <w:rPr>
          <w:color w:val="000000"/>
        </w:rPr>
        <w:t>tous les acteurs locaux et transformant un coût chronique en chaîne de valeur.</w:t>
      </w:r>
    </w:p>
    <w:p w:rsidR="00CD446B" w:rsidRDefault="004521BA">
      <w:pPr>
        <w:pStyle w:val="Paragraphedeliste"/>
        <w:numPr>
          <w:ilvl w:val="0"/>
          <w:numId w:val="1"/>
        </w:numPr>
        <w:spacing w:after="100" w:line="276" w:lineRule="auto"/>
        <w:jc w:val="both"/>
      </w:pPr>
      <w:r>
        <w:rPr>
          <w:b/>
          <w:bCs/>
          <w:color w:val="000000"/>
        </w:rPr>
        <w:t xml:space="preserve">Réviser l'urbanisme en zone à risque </w:t>
      </w:r>
      <w:r>
        <w:rPr>
          <w:color w:val="000000"/>
        </w:rPr>
        <w:t>et sécuriser les ignitions d'origine humaine, mesures immédiatement applicables sans attendre le déploiement des filières.</w:t>
      </w:r>
    </w:p>
    <w:p w:rsidR="00CD446B" w:rsidRDefault="00CD446B">
      <w:pPr>
        <w:spacing w:after="80"/>
      </w:pPr>
    </w:p>
    <w:p w:rsidR="00CD446B" w:rsidRDefault="004521BA">
      <w:pPr>
        <w:spacing w:after="120" w:line="276" w:lineRule="auto"/>
        <w:jc w:val="both"/>
      </w:pPr>
      <w:r>
        <w:rPr>
          <w:color w:val="000000"/>
        </w:rPr>
        <w:t>La prévention in</w:t>
      </w:r>
      <w:r>
        <w:rPr>
          <w:color w:val="000000"/>
        </w:rPr>
        <w:t xml:space="preserve">cendie et la transition énergétique partagent la même ressource — la biomasse résiduelle ligneuse — et peuvent être traitées par la même chaîne de valeur. C'est la convergence la plus puissante disponible pour agir simultanément sur le risque incendie, la </w:t>
      </w:r>
      <w:proofErr w:type="spellStart"/>
      <w:r>
        <w:rPr>
          <w:color w:val="000000"/>
        </w:rPr>
        <w:t>décarbonation</w:t>
      </w:r>
      <w:proofErr w:type="spellEnd"/>
      <w:r>
        <w:rPr>
          <w:color w:val="000000"/>
        </w:rPr>
        <w:t xml:space="preserve"> de la mobilité et de l'industrie, et la séquestration carbone. Elle n'attend pas une décision internationale : elle peut commencer territoire par territoire, dès aujourd'hui.</w:t>
      </w:r>
    </w:p>
    <w:p w:rsidR="00CD446B" w:rsidRDefault="00CD446B">
      <w:pPr>
        <w:spacing w:after="80"/>
      </w:pPr>
    </w:p>
    <w:p w:rsidR="00CD446B" w:rsidRDefault="004521BA">
      <w:pPr>
        <w:pBdr>
          <w:top w:val="single" w:sz="4" w:space="4" w:color="595959"/>
        </w:pBdr>
        <w:spacing w:before="320" w:after="80"/>
      </w:pPr>
      <w:r>
        <w:rPr>
          <w:color w:val="595959"/>
          <w:sz w:val="20"/>
          <w:szCs w:val="20"/>
        </w:rPr>
        <w:t>—</w:t>
      </w:r>
    </w:p>
    <w:p w:rsidR="00CD446B" w:rsidRDefault="004521BA">
      <w:pPr>
        <w:spacing w:after="80"/>
        <w:jc w:val="both"/>
      </w:pPr>
      <w:r>
        <w:rPr>
          <w:i/>
          <w:iCs/>
          <w:color w:val="595959"/>
          <w:sz w:val="18"/>
          <w:szCs w:val="18"/>
        </w:rPr>
        <w:t>Note rédigée à titre personnel, sur la base de travaux publiés p</w:t>
      </w:r>
      <w:r>
        <w:rPr>
          <w:i/>
          <w:iCs/>
          <w:color w:val="595959"/>
          <w:sz w:val="18"/>
          <w:szCs w:val="18"/>
        </w:rPr>
        <w:t>ar l'INRAE, le CNRS, le USDA Forest Service, l'</w:t>
      </w:r>
      <w:proofErr w:type="spellStart"/>
      <w:r>
        <w:rPr>
          <w:i/>
          <w:iCs/>
          <w:color w:val="595959"/>
          <w:sz w:val="18"/>
          <w:szCs w:val="18"/>
        </w:rPr>
        <w:t>European</w:t>
      </w:r>
      <w:proofErr w:type="spellEnd"/>
      <w:r>
        <w:rPr>
          <w:i/>
          <w:iCs/>
          <w:color w:val="595959"/>
          <w:sz w:val="18"/>
          <w:szCs w:val="18"/>
        </w:rPr>
        <w:t xml:space="preserve"> Forest </w:t>
      </w:r>
      <w:proofErr w:type="spellStart"/>
      <w:r>
        <w:rPr>
          <w:i/>
          <w:iCs/>
          <w:color w:val="595959"/>
          <w:sz w:val="18"/>
          <w:szCs w:val="18"/>
        </w:rPr>
        <w:t>Fire</w:t>
      </w:r>
      <w:proofErr w:type="spellEnd"/>
      <w:r>
        <w:rPr>
          <w:i/>
          <w:iCs/>
          <w:color w:val="595959"/>
          <w:sz w:val="18"/>
          <w:szCs w:val="18"/>
        </w:rPr>
        <w:t xml:space="preserve"> Information System (EFFIS) et la littérature scientifique sur l'écologie du feu et la conversion thermochimique de la biomasse. Les ordres de grandeur chiffrés sont indicatifs et fondés su</w:t>
      </w:r>
      <w:r>
        <w:rPr>
          <w:i/>
          <w:iCs/>
          <w:color w:val="595959"/>
          <w:sz w:val="18"/>
          <w:szCs w:val="18"/>
        </w:rPr>
        <w:t>r les rendements documentés à l'échelle industrielle. Document non commercial.</w:t>
      </w:r>
    </w:p>
    <w:sectPr w:rsidR="00CD446B">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8627FA"/>
    <w:multiLevelType w:val="hybridMultilevel"/>
    <w:tmpl w:val="B3B243CC"/>
    <w:lvl w:ilvl="0" w:tplc="51664B30">
      <w:start w:val="1"/>
      <w:numFmt w:val="bullet"/>
      <w:lvlText w:val="●"/>
      <w:lvlJc w:val="left"/>
      <w:pPr>
        <w:ind w:left="720" w:hanging="360"/>
      </w:pPr>
    </w:lvl>
    <w:lvl w:ilvl="1" w:tplc="EDF6BC3C">
      <w:start w:val="1"/>
      <w:numFmt w:val="bullet"/>
      <w:lvlText w:val="○"/>
      <w:lvlJc w:val="left"/>
      <w:pPr>
        <w:ind w:left="1440" w:hanging="360"/>
      </w:pPr>
    </w:lvl>
    <w:lvl w:ilvl="2" w:tplc="E5E4EC50">
      <w:start w:val="1"/>
      <w:numFmt w:val="bullet"/>
      <w:lvlText w:val="■"/>
      <w:lvlJc w:val="left"/>
      <w:pPr>
        <w:ind w:left="2160" w:hanging="360"/>
      </w:pPr>
    </w:lvl>
    <w:lvl w:ilvl="3" w:tplc="4C0CCD30">
      <w:start w:val="1"/>
      <w:numFmt w:val="bullet"/>
      <w:lvlText w:val="●"/>
      <w:lvlJc w:val="left"/>
      <w:pPr>
        <w:ind w:left="2880" w:hanging="360"/>
      </w:pPr>
    </w:lvl>
    <w:lvl w:ilvl="4" w:tplc="3CE0D544">
      <w:start w:val="1"/>
      <w:numFmt w:val="bullet"/>
      <w:lvlText w:val="○"/>
      <w:lvlJc w:val="left"/>
      <w:pPr>
        <w:ind w:left="3600" w:hanging="360"/>
      </w:pPr>
    </w:lvl>
    <w:lvl w:ilvl="5" w:tplc="4BB037F6">
      <w:start w:val="1"/>
      <w:numFmt w:val="bullet"/>
      <w:lvlText w:val="■"/>
      <w:lvlJc w:val="left"/>
      <w:pPr>
        <w:ind w:left="4320" w:hanging="360"/>
      </w:pPr>
    </w:lvl>
    <w:lvl w:ilvl="6" w:tplc="46E65850">
      <w:start w:val="1"/>
      <w:numFmt w:val="bullet"/>
      <w:lvlText w:val="●"/>
      <w:lvlJc w:val="left"/>
      <w:pPr>
        <w:ind w:left="5040" w:hanging="360"/>
      </w:pPr>
    </w:lvl>
    <w:lvl w:ilvl="7" w:tplc="7894481A">
      <w:start w:val="1"/>
      <w:numFmt w:val="bullet"/>
      <w:lvlText w:val="●"/>
      <w:lvlJc w:val="left"/>
      <w:pPr>
        <w:ind w:left="5760" w:hanging="360"/>
      </w:pPr>
    </w:lvl>
    <w:lvl w:ilvl="8" w:tplc="611AB3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46B"/>
    <w:rsid w:val="004521BA"/>
    <w:rsid w:val="00CD44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D693FA-9813-4EA8-B73C-7CE675FBA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pPr>
      <w:spacing w:before="320" w:after="160"/>
      <w:outlineLvl w:val="0"/>
    </w:pPr>
    <w:rPr>
      <w:b/>
      <w:bCs/>
      <w:color w:val="1F3864"/>
      <w:sz w:val="28"/>
      <w:szCs w:val="28"/>
    </w:rPr>
  </w:style>
  <w:style w:type="paragraph" w:styleId="Titre2">
    <w:name w:val="heading 2"/>
    <w:pPr>
      <w:spacing w:before="240" w:after="100"/>
      <w:outlineLvl w:val="1"/>
    </w:pPr>
    <w:rPr>
      <w:b/>
      <w:bCs/>
      <w:color w:val="C55A11"/>
      <w:sz w:val="24"/>
      <w:szCs w:val="24"/>
    </w:rPr>
  </w:style>
  <w:style w:type="paragraph" w:styleId="Titre3">
    <w:name w:val="heading 3"/>
    <w:pPr>
      <w:spacing w:before="180" w:after="80"/>
      <w:outlineLvl w:val="2"/>
    </w:pPr>
    <w:rPr>
      <w:b/>
      <w:bCs/>
      <w:color w:val="1F6B3C"/>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3229</Words>
  <Characters>17763</Characters>
  <Application>Microsoft Office Word</Application>
  <DocSecurity>0</DocSecurity>
  <Lines>148</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2026-07-19T12:52:00Z</dcterms:created>
  <dcterms:modified xsi:type="dcterms:W3CDTF">2026-07-19T12:52:00Z</dcterms:modified>
</cp:coreProperties>
</file>