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PROPOSTA COMERCIAL — PONTO CERTO</w:t>
      </w:r>
    </w:p>
    <w:p>
      <w:pPr>
        <w:jc w:val="left"/>
      </w:pPr>
      <w:r>
        <w:rPr>
          <w:color w:val="606C76"/>
          <w:sz w:val="21"/>
        </w:rPr>
        <w:t>{{empresa_nome}}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cantSplit/>
        </w:trPr>
        <w:tc>
          <w:tcPr>
            <w:tcW w:type="dxa" w:w="2635"/>
            <w:shd w:fill="E6EFF7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vAlign w:val="center"/>
          </w:tcPr>
          <w:p>
            <w:pPr>
              <w:jc w:val="left"/>
            </w:pPr>
            <w:r>
              <w:rPr>
                <w:b/>
                <w:color w:val="606C76"/>
                <w:sz w:val="15"/>
              </w:rPr>
              <w:t>Proposta</w:t>
              <w:br/>
            </w:r>
            <w:r>
              <w:rPr>
                <w:b/>
                <w:color w:val="142D5B"/>
                <w:sz w:val="19"/>
              </w:rPr>
              <w:t>{{numero_proposta}}</w:t>
            </w:r>
          </w:p>
        </w:tc>
        <w:tc>
          <w:tcPr>
            <w:tcW w:type="dxa" w:w="2635"/>
            <w:shd w:fill="E6EFF7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vAlign w:val="center"/>
          </w:tcPr>
          <w:p>
            <w:pPr>
              <w:jc w:val="left"/>
            </w:pPr>
            <w:r>
              <w:rPr>
                <w:b/>
                <w:color w:val="606C76"/>
                <w:sz w:val="15"/>
              </w:rPr>
              <w:t>Data de emissão</w:t>
              <w:br/>
            </w:r>
            <w:r>
              <w:rPr>
                <w:b/>
                <w:color w:val="142D5B"/>
                <w:sz w:val="19"/>
              </w:rPr>
              <w:t>{{data_proposta}}</w:t>
            </w:r>
          </w:p>
        </w:tc>
        <w:tc>
          <w:tcPr>
            <w:tcW w:type="dxa" w:w="2635"/>
            <w:shd w:fill="E6EFF7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vAlign w:val="center"/>
          </w:tcPr>
          <w:p>
            <w:pPr>
              <w:jc w:val="left"/>
            </w:pPr>
            <w:r>
              <w:rPr>
                <w:b/>
                <w:color w:val="606C76"/>
                <w:sz w:val="15"/>
              </w:rPr>
              <w:t>Validade</w:t>
              <w:br/>
            </w:r>
            <w:r>
              <w:rPr>
                <w:b/>
                <w:color w:val="142D5B"/>
                <w:sz w:val="19"/>
              </w:rPr>
              <w:t>{{data_validade}}</w:t>
            </w:r>
          </w:p>
        </w:tc>
        <w:tc>
          <w:tcPr>
            <w:tcW w:type="dxa" w:w="2635"/>
            <w:shd w:fill="E6EFF7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vAlign w:val="center"/>
          </w:tcPr>
          <w:p>
            <w:pPr>
              <w:jc w:val="left"/>
            </w:pPr>
            <w:r>
              <w:rPr>
                <w:b/>
                <w:color w:val="606C76"/>
                <w:sz w:val="15"/>
              </w:rPr>
              <w:t>Plano</w:t>
              <w:br/>
            </w:r>
            <w:r>
              <w:rPr>
                <w:b/>
                <w:color w:val="142D5B"/>
                <w:sz w:val="19"/>
              </w:rPr>
              <w:t>{{plano_nome}}</w:t>
            </w:r>
          </w:p>
        </w:tc>
      </w:tr>
    </w:tbl>
    <w:p/>
    <w:p>
      <w:pPr>
        <w:pStyle w:val="Heading1"/>
      </w:pPr>
      <w:r>
        <w:t>1. Apresentação da proposta</w:t>
      </w:r>
    </w:p>
    <w:p>
      <w:r>
        <w:t>Apresentamos a proposta comercial do PONTO CERTO para implantação da solução de controle de jornada e gestão de ponto eletrônico da {{empresa_nome}}, inscrita no CNPJ {{empresa_cnpj}}.</w:t>
      </w:r>
    </w:p>
    <w:p>
      <w:r>
        <w:t>A solução contempla ambiente web administrativo, PWA para iPhone, aplicativo Android, registro online e offline, captura de selfie, geolocalização, biometria do dispositivo, jornadas, relatórios e recursos adicionais conforme contratação.</w:t>
      </w:r>
    </w:p>
    <w:p>
      <w:pPr>
        <w:pStyle w:val="Heading1"/>
      </w:pPr>
      <w:r>
        <w:t>2. Resumo comercial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2551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shd w:fill="EAF5F7"/>
            <w:vAlign w:val="center"/>
          </w:tcPr>
          <w:p>
            <w:r>
              <w:rPr>
                <w:b/>
                <w:color w:val="142D5B"/>
                <w:sz w:val="18"/>
              </w:rPr>
              <w:t>Empresa</w:t>
            </w:r>
          </w:p>
        </w:tc>
        <w:tc>
          <w:tcPr>
            <w:tcW w:type="dxa" w:w="6350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vAlign w:val="center"/>
          </w:tcPr>
          <w:p>
            <w:r>
              <w:rPr>
                <w:sz w:val="18"/>
              </w:rPr>
              <w:t>{{empresa_nome}}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shd w:fill="EAF5F7"/>
            <w:vAlign w:val="center"/>
          </w:tcPr>
          <w:p>
            <w:r>
              <w:rPr>
                <w:b/>
                <w:color w:val="142D5B"/>
                <w:sz w:val="18"/>
              </w:rPr>
              <w:t>CNPJ</w:t>
            </w:r>
          </w:p>
        </w:tc>
        <w:tc>
          <w:tcPr>
            <w:tcW w:type="dxa" w:w="6350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vAlign w:val="center"/>
          </w:tcPr>
          <w:p>
            <w:r>
              <w:rPr>
                <w:sz w:val="18"/>
              </w:rPr>
              <w:t>{{empresa_cnpj}}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shd w:fill="EAF5F7"/>
            <w:vAlign w:val="center"/>
          </w:tcPr>
          <w:p>
            <w:r>
              <w:rPr>
                <w:b/>
                <w:color w:val="142D5B"/>
                <w:sz w:val="18"/>
              </w:rPr>
              <w:t>Responsável</w:t>
            </w:r>
          </w:p>
        </w:tc>
        <w:tc>
          <w:tcPr>
            <w:tcW w:type="dxa" w:w="6350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vAlign w:val="center"/>
          </w:tcPr>
          <w:p>
            <w:r>
              <w:rPr>
                <w:sz w:val="18"/>
              </w:rPr>
              <w:t>{{responsavel}}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shd w:fill="EAF5F7"/>
            <w:vAlign w:val="center"/>
          </w:tcPr>
          <w:p>
            <w:r>
              <w:rPr>
                <w:b/>
                <w:color w:val="142D5B"/>
                <w:sz w:val="18"/>
              </w:rPr>
              <w:t>Contato</w:t>
            </w:r>
          </w:p>
        </w:tc>
        <w:tc>
          <w:tcPr>
            <w:tcW w:type="dxa" w:w="6350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vAlign w:val="center"/>
          </w:tcPr>
          <w:p>
            <w:r>
              <w:rPr>
                <w:sz w:val="18"/>
              </w:rPr>
              <w:t>{{email}} · {{telefone}}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shd w:fill="EAF5F7"/>
            <w:vAlign w:val="center"/>
          </w:tcPr>
          <w:p>
            <w:r>
              <w:rPr>
                <w:b/>
                <w:color w:val="142D5B"/>
                <w:sz w:val="18"/>
              </w:rPr>
              <w:t>Plano contratado</w:t>
            </w:r>
          </w:p>
        </w:tc>
        <w:tc>
          <w:tcPr>
            <w:tcW w:type="dxa" w:w="6350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vAlign w:val="center"/>
          </w:tcPr>
          <w:p>
            <w:r>
              <w:rPr>
                <w:sz w:val="18"/>
              </w:rPr>
              <w:t>{{plano_nome}}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shd w:fill="EAF5F7"/>
            <w:vAlign w:val="center"/>
          </w:tcPr>
          <w:p>
            <w:r>
              <w:rPr>
                <w:b/>
                <w:color w:val="142D5B"/>
                <w:sz w:val="18"/>
              </w:rPr>
              <w:t>Limite de funcionários</w:t>
            </w:r>
          </w:p>
        </w:tc>
        <w:tc>
          <w:tcPr>
            <w:tcW w:type="dxa" w:w="6350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vAlign w:val="center"/>
          </w:tcPr>
          <w:p>
            <w:r>
              <w:rPr>
                <w:sz w:val="18"/>
              </w:rPr>
              <w:t>{{limite_funcionarios}}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shd w:fill="EAF5F7"/>
            <w:vAlign w:val="center"/>
          </w:tcPr>
          <w:p>
            <w:r>
              <w:rPr>
                <w:b/>
                <w:color w:val="142D5B"/>
                <w:sz w:val="18"/>
              </w:rPr>
              <w:t>Filiais incluídas</w:t>
            </w:r>
          </w:p>
        </w:tc>
        <w:tc>
          <w:tcPr>
            <w:tcW w:type="dxa" w:w="6350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vAlign w:val="center"/>
          </w:tcPr>
          <w:p>
            <w:r>
              <w:rPr>
                <w:sz w:val="18"/>
              </w:rPr>
              <w:t>{{limite_filiais}}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shd w:fill="EAF5F7"/>
            <w:vAlign w:val="center"/>
          </w:tcPr>
          <w:p>
            <w:r>
              <w:rPr>
                <w:b/>
                <w:color w:val="142D5B"/>
                <w:sz w:val="18"/>
              </w:rPr>
              <w:t>Prazo de implantação</w:t>
            </w:r>
          </w:p>
        </w:tc>
        <w:tc>
          <w:tcPr>
            <w:tcW w:type="dxa" w:w="6350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vAlign w:val="center"/>
          </w:tcPr>
          <w:p>
            <w:r>
              <w:rPr>
                <w:sz w:val="18"/>
              </w:rPr>
              <w:t>{{prazo_implantacao}} dias</w:t>
            </w:r>
          </w:p>
        </w:tc>
      </w:tr>
    </w:tbl>
    <w:p/>
    <w:p>
      <w:pPr>
        <w:pStyle w:val="Heading1"/>
      </w:pPr>
      <w:r>
        <w:t>3. Recursos contemplados</w:t>
      </w:r>
    </w:p>
    <w:p>
      <w:r>
        <w:t>Os recursos abaixo correspondem à configuração comercial desta proposta e servirão como referência para a contratação.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2551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shd w:fill="EAF5F7"/>
            <w:vAlign w:val="center"/>
          </w:tcPr>
          <w:p>
            <w:r>
              <w:rPr>
                <w:b/>
                <w:color w:val="142D5B"/>
                <w:sz w:val="18"/>
              </w:rPr>
              <w:t>Recursos contratados</w:t>
            </w:r>
          </w:p>
        </w:tc>
        <w:tc>
          <w:tcPr>
            <w:tcW w:type="dxa" w:w="6350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vAlign w:val="center"/>
          </w:tcPr>
          <w:p>
            <w:r>
              <w:rPr>
                <w:sz w:val="18"/>
              </w:rPr>
              <w:t>{{recursos}}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shd w:fill="EAF5F7"/>
            <w:vAlign w:val="center"/>
          </w:tcPr>
          <w:p>
            <w:r>
              <w:rPr>
                <w:b/>
                <w:color w:val="142D5B"/>
                <w:sz w:val="18"/>
              </w:rPr>
              <w:t>Observações comerciais</w:t>
            </w:r>
          </w:p>
        </w:tc>
        <w:tc>
          <w:tcPr>
            <w:tcW w:type="dxa" w:w="6350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  <w:vAlign w:val="center"/>
          </w:tcPr>
          <w:p>
            <w:r>
              <w:rPr>
                <w:sz w:val="18"/>
              </w:rPr>
              <w:t>{{observacoes}}</w:t>
            </w:r>
          </w:p>
        </w:tc>
      </w:tr>
    </w:tbl>
    <w:p/>
    <w:p>
      <w:pPr>
        <w:pStyle w:val="Heading1"/>
      </w:pPr>
      <w:r>
        <w:t>4. Funcionalidades da plataforma</w:t>
      </w:r>
    </w:p>
    <w:p>
      <w:pPr>
        <w:pStyle w:val="ListBullet"/>
        <w:spacing w:after="20"/>
        <w:ind w:left="198"/>
      </w:pPr>
      <w:r>
        <w:rPr>
          <w:sz w:val="18"/>
        </w:rPr>
        <w:t>Registro de ponto online e offline com sincronização automática após reconexão.</w:t>
      </w:r>
    </w:p>
    <w:p>
      <w:pPr>
        <w:pStyle w:val="ListBullet"/>
        <w:spacing w:after="20"/>
        <w:ind w:left="198"/>
      </w:pPr>
      <w:r>
        <w:rPr>
          <w:sz w:val="18"/>
        </w:rPr>
        <w:t>Captura de selfie e possibilidade de refazer a foto antes da marcação.</w:t>
      </w:r>
    </w:p>
    <w:p>
      <w:pPr>
        <w:pStyle w:val="ListBullet"/>
        <w:spacing w:after="20"/>
        <w:ind w:left="198"/>
      </w:pPr>
      <w:r>
        <w:rPr>
          <w:sz w:val="18"/>
        </w:rPr>
        <w:t>Geolocalização com precisão e bloqueio fora do raio configurado.</w:t>
      </w:r>
    </w:p>
    <w:p>
      <w:pPr>
        <w:pStyle w:val="ListBullet"/>
        <w:spacing w:after="20"/>
        <w:ind w:left="198"/>
      </w:pPr>
      <w:r>
        <w:rPr>
          <w:sz w:val="18"/>
        </w:rPr>
        <w:t>Aplicativo Android com biometria nativa, vínculo de aparelho e fila offline.</w:t>
      </w:r>
    </w:p>
    <w:p>
      <w:pPr>
        <w:pStyle w:val="ListBullet"/>
        <w:spacing w:after="20"/>
        <w:ind w:left="198"/>
      </w:pPr>
      <w:r>
        <w:rPr>
          <w:sz w:val="18"/>
        </w:rPr>
        <w:t>PWA para iPhone com câmera, localização e sincronização.</w:t>
      </w:r>
    </w:p>
    <w:p>
      <w:pPr>
        <w:pStyle w:val="ListBullet"/>
        <w:spacing w:after="20"/>
        <w:ind w:left="198"/>
      </w:pPr>
      <w:r>
        <w:rPr>
          <w:sz w:val="18"/>
        </w:rPr>
        <w:t>Cadastro de funcionários, jornadas, escalas, locais de trabalho, grupos e ocorrências.</w:t>
      </w:r>
    </w:p>
    <w:p>
      <w:pPr>
        <w:pStyle w:val="ListBullet"/>
        <w:spacing w:after="20"/>
        <w:ind w:left="198"/>
      </w:pPr>
      <w:r>
        <w:rPr>
          <w:sz w:val="18"/>
        </w:rPr>
        <w:t>Relatórios gerenciais, banco de horas, horas extras, exportações e auditoria.</w:t>
      </w:r>
    </w:p>
    <w:p>
      <w:pPr>
        <w:pStyle w:val="ListBullet"/>
        <w:spacing w:after="20"/>
        <w:ind w:left="198"/>
      </w:pPr>
      <w:r>
        <w:rPr>
          <w:sz w:val="18"/>
        </w:rPr>
        <w:t>Compatibilidade de exportação para ERPs como Domínio, Sage e Questor.</w:t>
      </w:r>
    </w:p>
    <w:p>
      <w:pPr>
        <w:pStyle w:val="Heading1"/>
      </w:pPr>
      <w:r>
        <w:t>5. Conformidade legal e tecnológica</w:t>
      </w:r>
    </w:p>
    <w:p>
      <w:r>
        <w:t>O PONTO CERTO é uma solução digital para controle de jornada com arquitetura adequada ao registro eletrônico de ponto via REP-P, observando as exigências aplicáveis da Portaria MTP nº 671/2021, do art. 74 da CLT, do Decreto nº 10.854/2021 e demais normas correlatas.</w:t>
      </w:r>
    </w:p>
    <w:p>
      <w:pPr>
        <w:pStyle w:val="ListBullet"/>
        <w:spacing w:after="20"/>
        <w:ind w:left="198"/>
      </w:pPr>
      <w:r>
        <w:rPr>
          <w:sz w:val="18"/>
        </w:rPr>
        <w:t>Rastreabilidade das marcações e consistência dos eventos registrados.</w:t>
      </w:r>
    </w:p>
    <w:p>
      <w:pPr>
        <w:pStyle w:val="ListBullet"/>
        <w:spacing w:after="20"/>
        <w:ind w:left="198"/>
      </w:pPr>
      <w:r>
        <w:rPr>
          <w:sz w:val="18"/>
        </w:rPr>
        <w:t>Armazenamento estruturado de dados, logs e evidências do processo de marcação.</w:t>
      </w:r>
    </w:p>
    <w:p>
      <w:pPr>
        <w:pStyle w:val="ListBullet"/>
        <w:spacing w:after="20"/>
        <w:ind w:left="198"/>
      </w:pPr>
      <w:r>
        <w:rPr>
          <w:sz w:val="18"/>
        </w:rPr>
        <w:t>Segregação de perfis, permissões administrativas e trilha de auditoria.</w:t>
      </w:r>
    </w:p>
    <w:p>
      <w:pPr>
        <w:pStyle w:val="ListBullet"/>
        <w:spacing w:after="20"/>
        <w:ind w:left="198"/>
      </w:pPr>
      <w:r>
        <w:rPr>
          <w:sz w:val="18"/>
        </w:rPr>
        <w:t>Suporte à gestão de jornada, horas extras, exceções e aprovações.</w:t>
      </w:r>
    </w:p>
    <w:p>
      <w:pPr>
        <w:pStyle w:val="Heading1"/>
      </w:pPr>
      <w:r>
        <w:t>6. Benefícios esperados para a empresa</w:t>
      </w:r>
    </w:p>
    <w:p>
      <w:pPr>
        <w:pStyle w:val="ListBullet"/>
        <w:spacing w:after="20"/>
        <w:ind w:left="198"/>
      </w:pPr>
      <w:r>
        <w:rPr>
          <w:sz w:val="18"/>
        </w:rPr>
        <w:t>Redução de rotinas manuais e maior organização da operação de jornada.</w:t>
      </w:r>
    </w:p>
    <w:p>
      <w:pPr>
        <w:pStyle w:val="ListBullet"/>
        <w:spacing w:after="20"/>
        <w:ind w:left="198"/>
      </w:pPr>
      <w:r>
        <w:rPr>
          <w:sz w:val="18"/>
        </w:rPr>
        <w:t>Mais previsibilidade para gestão de horas extras, faltas, atrasos e escalas.</w:t>
      </w:r>
    </w:p>
    <w:p>
      <w:pPr>
        <w:pStyle w:val="ListBullet"/>
        <w:spacing w:after="20"/>
        <w:ind w:left="198"/>
      </w:pPr>
      <w:r>
        <w:rPr>
          <w:sz w:val="18"/>
        </w:rPr>
        <w:t>Rastreabilidade das marcações com evidências de foto, localização e origem offline.</w:t>
      </w:r>
    </w:p>
    <w:p>
      <w:pPr>
        <w:pStyle w:val="ListBullet"/>
        <w:spacing w:after="20"/>
        <w:ind w:left="198"/>
      </w:pPr>
      <w:r>
        <w:rPr>
          <w:sz w:val="18"/>
        </w:rPr>
        <w:t>Suporte à auditoria interna e à exportação de dados para folha, contabilidade e ERPs.</w:t>
      </w:r>
    </w:p>
    <w:p>
      <w:pPr>
        <w:pStyle w:val="ListBullet"/>
        <w:spacing w:after="20"/>
        <w:ind w:left="198"/>
      </w:pPr>
      <w:r>
        <w:rPr>
          <w:sz w:val="18"/>
        </w:rPr>
        <w:t>Acompanhamento centralizado por gestores com perfis e permissões controladas.</w:t>
      </w:r>
    </w:p>
    <w:p>
      <w:pPr>
        <w:pStyle w:val="Heading1"/>
      </w:pPr>
      <w:r>
        <w:t>7. Investimento comercial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4139"/>
        <w:gridCol w:w="1984"/>
      </w:tblGrid>
      <w:tr>
        <w:trPr>
          <w:cantSplit/>
        </w:trPr>
        <w:tc>
          <w:tcPr>
            <w:tcW w:type="dxa" w:w="3513"/>
            <w:shd w:fill="EAF5F7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center"/>
            </w:pPr>
            <w:r>
              <w:rPr>
                <w:b/>
                <w:color w:val="142D5B"/>
                <w:sz w:val="18"/>
              </w:rPr>
              <w:t>Item</w:t>
            </w:r>
          </w:p>
        </w:tc>
        <w:tc>
          <w:tcPr>
            <w:tcW w:type="dxa" w:w="3513"/>
            <w:shd w:fill="EAF5F7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center"/>
            </w:pPr>
            <w:r>
              <w:rPr>
                <w:b/>
                <w:color w:val="142D5B"/>
                <w:sz w:val="18"/>
              </w:rPr>
              <w:t>Condição</w:t>
            </w:r>
          </w:p>
        </w:tc>
        <w:tc>
          <w:tcPr>
            <w:tcW w:type="dxa" w:w="3513"/>
            <w:shd w:fill="EAF5F7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center"/>
            </w:pPr>
            <w:r>
              <w:rPr>
                <w:b/>
                <w:color w:val="142D5B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left"/>
            </w:pPr>
            <w:r>
              <w:rPr>
                <w:sz w:val="17"/>
              </w:rPr>
              <w:t>Licença mensal Ponto Certo</w:t>
            </w:r>
          </w:p>
        </w:tc>
        <w:tc>
          <w:tcPr>
            <w:tcW w:type="dxa" w:w="4139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left"/>
            </w:pPr>
            <w:r>
              <w:rPr>
                <w:sz w:val="17"/>
              </w:rPr>
              <w:t>Plano {{plano_nome}} · até {{limite_funcionarios}} colaboradores</w:t>
            </w:r>
          </w:p>
        </w:tc>
        <w:tc>
          <w:tcPr>
            <w:tcW w:type="dxa" w:w="1984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left"/>
            </w:pPr>
            <w:r>
              <w:rPr>
                <w:sz w:val="17"/>
              </w:rPr>
              <w:t>{{valor_mensal}} / mês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left"/>
            </w:pPr>
            <w:r>
              <w:rPr>
                <w:sz w:val="17"/>
              </w:rPr>
              <w:t>Implantação e parametrização</w:t>
            </w:r>
          </w:p>
        </w:tc>
        <w:tc>
          <w:tcPr>
            <w:tcW w:type="dxa" w:w="4139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left"/>
            </w:pPr>
            <w:r>
              <w:rPr>
                <w:sz w:val="17"/>
              </w:rPr>
              <w:t>Pagamento único</w:t>
            </w:r>
          </w:p>
        </w:tc>
        <w:tc>
          <w:tcPr>
            <w:tcW w:type="dxa" w:w="1984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left"/>
            </w:pPr>
            <w:r>
              <w:rPr>
                <w:sz w:val="17"/>
              </w:rPr>
              <w:t>{{valor_implantacao}}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left"/>
            </w:pPr>
            <w:r>
              <w:rPr>
                <w:sz w:val="17"/>
              </w:rPr>
              <w:t>Exportação para folha / ERP</w:t>
            </w:r>
          </w:p>
        </w:tc>
        <w:tc>
          <w:tcPr>
            <w:tcW w:type="dxa" w:w="4139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left"/>
            </w:pPr>
            <w:r>
              <w:rPr>
                <w:sz w:val="17"/>
              </w:rPr>
              <w:t>Conforme recursos contratados</w:t>
            </w:r>
          </w:p>
        </w:tc>
        <w:tc>
          <w:tcPr>
            <w:tcW w:type="dxa" w:w="1984"/>
            <w:tcBorders>
              <w:top w:val="single" w:sz="8" w:color="B9C6D3"/>
              <w:left w:val="single" w:sz="8" w:color="B9C6D3"/>
              <w:bottom w:val="single" w:sz="8" w:color="B9C6D3"/>
              <w:right w:val="single" w:sz="8" w:color="B9C6D3"/>
            </w:tcBorders>
          </w:tcPr>
          <w:p>
            <w:pPr>
              <w:jc w:val="left"/>
            </w:pPr>
            <w:r>
              <w:rPr>
                <w:sz w:val="17"/>
              </w:rPr>
              <w:t>Incluso na mensalidade</w:t>
            </w:r>
          </w:p>
        </w:tc>
      </w:tr>
    </w:tbl>
    <w:p/>
    <w:p>
      <w:pPr>
        <w:pStyle w:val="Heading1"/>
      </w:pPr>
      <w:r>
        <w:t>8. Condições gerais</w:t>
      </w:r>
    </w:p>
    <w:p>
      <w:pPr>
        <w:pStyle w:val="ListBullet"/>
        <w:spacing w:after="20"/>
        <w:ind w:left="198"/>
      </w:pPr>
      <w:r>
        <w:rPr>
          <w:sz w:val="18"/>
        </w:rPr>
        <w:t>Esta proposta possui validade até {{data_validade}}.</w:t>
      </w:r>
    </w:p>
    <w:p>
      <w:pPr>
        <w:pStyle w:val="ListBullet"/>
        <w:spacing w:after="20"/>
        <w:ind w:left="198"/>
      </w:pPr>
      <w:r>
        <w:rPr>
          <w:sz w:val="18"/>
        </w:rPr>
        <w:t>Os valores apresentados consideram o escopo e os recursos informados neste documento.</w:t>
      </w:r>
    </w:p>
    <w:p>
      <w:pPr>
        <w:pStyle w:val="ListBullet"/>
        <w:spacing w:after="20"/>
        <w:ind w:left="198"/>
      </w:pPr>
      <w:r>
        <w:rPr>
          <w:sz w:val="18"/>
        </w:rPr>
        <w:t>Alterações futuras de plano ou de recursos não modificam retroativamente esta proposta.</w:t>
      </w:r>
    </w:p>
    <w:p>
      <w:pPr>
        <w:pStyle w:val="ListBullet"/>
        <w:spacing w:after="20"/>
        <w:ind w:left="198"/>
      </w:pPr>
      <w:r>
        <w:rPr>
          <w:sz w:val="18"/>
        </w:rPr>
        <w:t>A contratação formal ocorrerá mediante aprovação comercial e geração do respectivo contrato.</w:t>
      </w:r>
    </w:p>
    <w:p>
      <w:pPr>
        <w:jc w:val="center"/>
      </w:pPr>
      <w:r>
        <w:rPr>
          <w:b/>
          <w:color w:val="007684"/>
          <w:sz w:val="20"/>
        </w:rPr>
        <w:t>PONTO CERTO agradece a oportunidade e permanece à disposição para esclarecimentos.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850" w:bottom="68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720000" cy="2865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2865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</w:tcPr>
        <w:p>
          <w:pPr>
            <w:jc w:val="right"/>
          </w:pPr>
          <w:r>
            <w:rPr>
              <w:color w:val="606C76"/>
              <w:sz w:val="15"/>
            </w:rPr>
            <w:t>PONTO CERTO · Documento comercial confidencial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</w:tcPr>
        <w:p>
          <w:r>
            <w:drawing>
              <wp:inline xmlns:a="http://schemas.openxmlformats.org/drawingml/2006/main" xmlns:pic="http://schemas.openxmlformats.org/drawingml/2006/picture">
                <wp:extent cx="972000" cy="38685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2000" cy="38685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42D5B"/>
              <w:sz w:val="18"/>
            </w:rPr>
            <w:t>PROPOSTA COMERCIAL</w:t>
          </w:r>
          <w:r>
            <w:rPr>
              <w:color w:val="606C76"/>
              <w:sz w:val="15"/>
            </w:rPr>
            <w:br/>
            <w:t>Sistema de Gestão de Jornada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42D5B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00768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Aptos" w:hAnsi="Aptos"/>
      <w:b/>
      <w:color w:val="142D5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