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PROPOSTA COMERCIAL</w:t>
      </w:r>
    </w:p>
    <w:p>
      <w:pPr>
        <w:jc w:val="center"/>
      </w:pPr>
      <w:r>
        <w:rPr>
          <w:b/>
          <w:color w:val="007D8C"/>
          <w:sz w:val="21"/>
        </w:rPr>
        <w:t>Uma plataforma para registrar, acompanhar e agir sobre a jornada de trabalho em tempo real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cantSplit/>
        </w:trPr>
        <w:tc>
          <w:tcPr>
            <w:tcW w:type="dxa" w:w="2381"/>
            <w:shd w:fill="193E67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b/>
                <w:color w:val="FFFFFF"/>
                <w:sz w:val="18"/>
              </w:rPr>
              <w:t>Cliente</w:t>
            </w:r>
          </w:p>
        </w:tc>
        <w:tc>
          <w:tcPr>
            <w:tcW w:type="dxa" w:w="7257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8"/>
              </w:rPr>
              <w:t>{{empresa_nome}}</w:t>
            </w:r>
          </w:p>
        </w:tc>
      </w:tr>
      <w:tr>
        <w:trPr>
          <w:cantSplit/>
        </w:trPr>
        <w:tc>
          <w:tcPr>
            <w:tcW w:type="dxa" w:w="2381"/>
            <w:shd w:fill="193E67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b/>
                <w:color w:val="FFFFFF"/>
                <w:sz w:val="18"/>
              </w:rPr>
              <w:t>CNPJ</w:t>
            </w:r>
          </w:p>
        </w:tc>
        <w:tc>
          <w:tcPr>
            <w:tcW w:type="dxa" w:w="7257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8"/>
              </w:rPr>
              <w:t>{{empresa_cnpj}}</w:t>
            </w:r>
          </w:p>
        </w:tc>
      </w:tr>
      <w:tr>
        <w:trPr>
          <w:cantSplit/>
        </w:trPr>
        <w:tc>
          <w:tcPr>
            <w:tcW w:type="dxa" w:w="2381"/>
            <w:shd w:fill="193E67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b/>
                <w:color w:val="FFFFFF"/>
                <w:sz w:val="18"/>
              </w:rPr>
              <w:t>Proponente</w:t>
            </w:r>
          </w:p>
        </w:tc>
        <w:tc>
          <w:tcPr>
            <w:tcW w:type="dxa" w:w="7257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8"/>
              </w:rPr>
              <w:t>PONTO CERTO - Sistema de Gestão de Jornada</w:t>
            </w:r>
          </w:p>
        </w:tc>
      </w:tr>
      <w:tr>
        <w:trPr>
          <w:cantSplit/>
        </w:trPr>
        <w:tc>
          <w:tcPr>
            <w:tcW w:type="dxa" w:w="2381"/>
            <w:shd w:fill="193E67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b/>
                <w:color w:val="FFFFFF"/>
                <w:sz w:val="18"/>
              </w:rPr>
              <w:t>CNPJ</w:t>
            </w:r>
          </w:p>
        </w:tc>
        <w:tc>
          <w:tcPr>
            <w:tcW w:type="dxa" w:w="7257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8"/>
              </w:rPr>
              <w:t>67.609.840/0001-27</w:t>
            </w:r>
          </w:p>
        </w:tc>
      </w:tr>
    </w:tbl>
    <w:p>
      <w:pPr>
        <w:jc w:val="center"/>
      </w:pPr>
      <w:r>
        <w:rPr>
          <w:color w:val="606C76"/>
          <w:sz w:val="17"/>
        </w:rPr>
        <w:t>Data: {{data_proposta}}  |  Validade da proposta: {{data_validade}}</w:t>
      </w:r>
    </w:p>
    <w:p>
      <w:pPr>
        <w:pStyle w:val="Heading1"/>
        <w:keepNext/>
      </w:pPr>
      <w:r>
        <w:t>1. Objetivo da proposta</w:t>
      </w:r>
    </w:p>
    <w:p>
      <w:r>
        <w:rPr>
          <w:i w:val="0"/>
        </w:rPr>
        <w:t>Disponibilizar à {{empresa_nome}} uma solução moderna para gestão de jornada, controle de ponto e acompanhamento operacional, reduzindo processos manuais, facilitando o fechamento mensal e ampliando a capacidade de prevenção de horas extras, inconsistências e esquecimentos de marcação.</w:t>
      </w:r>
    </w:p>
    <w:p>
      <w:pPr>
        <w:pStyle w:val="Heading1"/>
        <w:keepNext/>
      </w:pPr>
      <w:r>
        <w:t>2. Principais funcionalidades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20"/>
        <w:gridCol w:w="6775"/>
      </w:tblGrid>
      <w:tr>
        <w:trPr>
          <w:tblHeader w:val="true"/>
          <w:cantSplit/>
        </w:trPr>
        <w:tc>
          <w:tcPr>
            <w:tcW w:type="dxa" w:w="5298"/>
            <w:shd w:fill="193E67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5298"/>
            <w:shd w:fill="193E67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  <w:shd w:fill="EEF4F8"/>
          </w:tcPr>
          <w:p>
            <w:r>
              <w:rPr>
                <w:b/>
                <w:color w:val="193E67"/>
                <w:sz w:val="16"/>
              </w:rPr>
              <w:t>Registro de ponto online/offline</w:t>
            </w:r>
          </w:p>
        </w:tc>
        <w:tc>
          <w:tcPr>
            <w:tcW w:type="dxa" w:w="6775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6"/>
              </w:rPr>
              <w:t>Marcação com conexão ou sem conexão à internet por aplicativo Android ou PWA para iPhone/iOS, com sincronização imediata e disponibilidade da informação para a gestão.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  <w:shd w:fill="EEF4F8"/>
          </w:tcPr>
          <w:p>
            <w:r>
              <w:rPr>
                <w:b/>
                <w:color w:val="193E67"/>
                <w:sz w:val="16"/>
              </w:rPr>
              <w:t>Aplicativo Android</w:t>
            </w:r>
          </w:p>
        </w:tc>
        <w:tc>
          <w:tcPr>
            <w:tcW w:type="dxa" w:w="6775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6"/>
              </w:rPr>
              <w:t>Aplicativo dedicado para smartphones e tablets Android, permitindo o registro de ponto, captura de foto, localização e demais validações definidas pela empresa.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  <w:shd w:fill="EEF4F8"/>
          </w:tcPr>
          <w:p>
            <w:r>
              <w:rPr>
                <w:b/>
                <w:color w:val="193E67"/>
                <w:sz w:val="16"/>
              </w:rPr>
              <w:t>PWA para iPhone / iOS</w:t>
            </w:r>
          </w:p>
        </w:tc>
        <w:tc>
          <w:tcPr>
            <w:tcW w:type="dxa" w:w="6775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6"/>
              </w:rPr>
              <w:t>Acesso pelo iPhone por aplicação web progressiva (PWA), instalável na tela inicial, sem necessidade de distribuição pela App Store.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  <w:shd w:fill="EEF4F8"/>
          </w:tcPr>
          <w:p>
            <w:r>
              <w:rPr>
                <w:b/>
                <w:color w:val="193E67"/>
                <w:sz w:val="16"/>
              </w:rPr>
              <w:t>Registro de ponto offline</w:t>
            </w:r>
          </w:p>
        </w:tc>
        <w:tc>
          <w:tcPr>
            <w:tcW w:type="dxa" w:w="6775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6"/>
              </w:rPr>
              <w:t>Possibilidade de registrar marcações quando não houver conexão, com armazenamento local e sincronização automática quando a conectividade for restabelecida, preservando o horário original.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  <w:shd w:fill="EEF4F8"/>
          </w:tcPr>
          <w:p>
            <w:r>
              <w:rPr>
                <w:b/>
                <w:color w:val="193E67"/>
                <w:sz w:val="16"/>
              </w:rPr>
              <w:t>Geolocalização e geofencing</w:t>
            </w:r>
          </w:p>
        </w:tc>
        <w:tc>
          <w:tcPr>
            <w:tcW w:type="dxa" w:w="6775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6"/>
              </w:rPr>
              <w:t>Captura da localização no momento do registro e validação de distância em relação ao local de trabalho cadastrado, com raio configurável.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  <w:shd w:fill="EEF4F8"/>
          </w:tcPr>
          <w:p>
            <w:r>
              <w:rPr>
                <w:b/>
                <w:color w:val="193E67"/>
                <w:sz w:val="16"/>
              </w:rPr>
              <w:t>Registro fotográfico</w:t>
            </w:r>
          </w:p>
        </w:tc>
        <w:tc>
          <w:tcPr>
            <w:tcW w:type="dxa" w:w="6775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6"/>
              </w:rPr>
              <w:t>Captura de foto do colaborador no momento da marcação, com visualização da câmera, pré-visualização da foto e opção de refazer antes da confirmação.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  <w:shd w:fill="EEF4F8"/>
          </w:tcPr>
          <w:p>
            <w:r>
              <w:rPr>
                <w:b/>
                <w:color w:val="193E67"/>
                <w:sz w:val="16"/>
              </w:rPr>
              <w:t>Biometria do dispositivo</w:t>
            </w:r>
          </w:p>
        </w:tc>
        <w:tc>
          <w:tcPr>
            <w:tcW w:type="dxa" w:w="6775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6"/>
              </w:rPr>
              <w:t>Validação por biometria disponível no próprio aparelho do colaborador, com possibilidade de habilitar ou desabilitar a exigência individualmente.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  <w:shd w:fill="EEF4F8"/>
          </w:tcPr>
          <w:p>
            <w:r>
              <w:rPr>
                <w:b/>
                <w:color w:val="193E67"/>
                <w:sz w:val="16"/>
              </w:rPr>
              <w:t>Vinculação de dispositivo</w:t>
            </w:r>
          </w:p>
        </w:tc>
        <w:tc>
          <w:tcPr>
            <w:tcW w:type="dxa" w:w="6775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6"/>
              </w:rPr>
              <w:t>Controle do aparelho autorizado para utilização por cada funcionário, conforme regras definidas pela empresa.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  <w:shd w:fill="EEF4F8"/>
          </w:tcPr>
          <w:p>
            <w:r>
              <w:rPr>
                <w:b/>
                <w:color w:val="193E67"/>
                <w:sz w:val="16"/>
              </w:rPr>
              <w:t>Gestão de escalas e jornadas</w:t>
            </w:r>
          </w:p>
        </w:tc>
        <w:tc>
          <w:tcPr>
            <w:tcW w:type="dxa" w:w="6775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6"/>
              </w:rPr>
              <w:t>Cadastro de horários, jornadas, intervalos, tolerâncias e regras de marcação, com acompanhamento de ocorrências.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2. Principais funcionalidades - continuação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20"/>
        <w:gridCol w:w="6775"/>
      </w:tblGrid>
      <w:tr>
        <w:trPr>
          <w:tblHeader w:val="true"/>
          <w:cantSplit/>
        </w:trPr>
        <w:tc>
          <w:tcPr>
            <w:tcW w:type="dxa" w:w="5298"/>
            <w:shd w:fill="193E67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5298"/>
            <w:shd w:fill="193E67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b/>
                <w:color w:val="FFFFFF"/>
                <w:sz w:val="17"/>
              </w:rPr>
              <w:t>Descrição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  <w:shd w:fill="EEF4F8"/>
          </w:tcPr>
          <w:p>
            <w:r>
              <w:rPr>
                <w:b/>
                <w:color w:val="193E67"/>
                <w:sz w:val="16"/>
              </w:rPr>
              <w:t>Espelho e relatórios de ponto</w:t>
            </w:r>
          </w:p>
        </w:tc>
        <w:tc>
          <w:tcPr>
            <w:tcW w:type="dxa" w:w="6775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6"/>
              </w:rPr>
              <w:t>Consulta por funcionário, período, setor e empresa, com visualização das marcações, atrasos, ausências, horas trabalhadas e horas extras.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  <w:shd w:fill="EEF4F8"/>
          </w:tcPr>
          <w:p>
            <w:r>
              <w:rPr>
                <w:b/>
                <w:color w:val="193E67"/>
                <w:sz w:val="16"/>
              </w:rPr>
              <w:t>Tratamento de inconsistências</w:t>
            </w:r>
          </w:p>
        </w:tc>
        <w:tc>
          <w:tcPr>
            <w:tcW w:type="dxa" w:w="6775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6"/>
              </w:rPr>
              <w:t>Identificação de marcações ausentes, divergências de jornada e ocorrências que necessitem de conferência pelo gestor ou Departamento Pessoal.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  <w:shd w:fill="EEF4F8"/>
          </w:tcPr>
          <w:p>
            <w:r>
              <w:rPr>
                <w:b/>
                <w:color w:val="193E67"/>
                <w:sz w:val="16"/>
              </w:rPr>
              <w:t>Acesso multiempresa e multiusuário</w:t>
            </w:r>
          </w:p>
        </w:tc>
        <w:tc>
          <w:tcPr>
            <w:tcW w:type="dxa" w:w="6775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6"/>
              </w:rPr>
              <w:t>Estrutura multi-tenant para separar dados por empresa, com perfis administrativos e acessos distintos para gestão local e administração.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  <w:shd w:fill="EEF4F8"/>
          </w:tcPr>
          <w:p>
            <w:r>
              <w:rPr>
                <w:b/>
                <w:color w:val="193E67"/>
                <w:sz w:val="16"/>
              </w:rPr>
              <w:t>Dashboard gerencial</w:t>
            </w:r>
          </w:p>
        </w:tc>
        <w:tc>
          <w:tcPr>
            <w:tcW w:type="dxa" w:w="6775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6"/>
              </w:rPr>
              <w:t>Visão consolidada da operação, indicadores de marcação, pendências e eventos relevantes para acompanhamento diário.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  <w:shd w:fill="EEF4F8"/>
          </w:tcPr>
          <w:p>
            <w:r>
              <w:rPr>
                <w:b/>
                <w:color w:val="193E67"/>
                <w:sz w:val="16"/>
              </w:rPr>
              <w:t>Exportação de dados</w:t>
            </w:r>
          </w:p>
        </w:tc>
        <w:tc>
          <w:tcPr>
            <w:tcW w:type="dxa" w:w="6775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6"/>
              </w:rPr>
              <w:t>Geração de arquivos para utilização em rotinas de folha, contabilidade e gestão, reduzindo a necessidade de redigitação manual.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  <w:shd w:fill="EEF4F8"/>
          </w:tcPr>
          <w:p>
            <w:r>
              <w:rPr>
                <w:b/>
                <w:color w:val="193E67"/>
                <w:sz w:val="16"/>
              </w:rPr>
              <w:t>Proteção contra marcações duplicadas</w:t>
            </w:r>
          </w:p>
        </w:tc>
        <w:tc>
          <w:tcPr>
            <w:tcW w:type="dxa" w:w="6775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6"/>
              </w:rPr>
              <w:t>Validação no aplicativo e novamente no servidor para impedir duplicidade de eventos na mesma jornada, inclusive nas marcações offline.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  <w:shd w:fill="EEF4F8"/>
          </w:tcPr>
          <w:p>
            <w:r>
              <w:rPr>
                <w:b/>
                <w:color w:val="193E67"/>
                <w:sz w:val="16"/>
              </w:rPr>
              <w:t>Sincronização automática do ponto offline</w:t>
            </w:r>
          </w:p>
        </w:tc>
        <w:tc>
          <w:tcPr>
            <w:tcW w:type="dxa" w:w="6775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6"/>
              </w:rPr>
              <w:t>Envio automático das marcações pendentes quando a internet retorna, preservando o horário original da captura e evitando duplicidade durante a sincronização.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  <w:shd w:fill="EEF4F8"/>
          </w:tcPr>
          <w:p>
            <w:r>
              <w:rPr>
                <w:b/>
                <w:color w:val="193E67"/>
                <w:sz w:val="16"/>
              </w:rPr>
              <w:t>Alertas preventivos de marcação</w:t>
            </w:r>
          </w:p>
        </w:tc>
        <w:tc>
          <w:tcPr>
            <w:tcW w:type="dxa" w:w="6775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6"/>
              </w:rPr>
              <w:t>Lembretes automáticos antes da próxima batida prevista, inclusive alerta configurável com antecedência.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  <w:shd w:fill="EEF4F8"/>
          </w:tcPr>
          <w:p>
            <w:r>
              <w:rPr>
                <w:b/>
                <w:color w:val="193E67"/>
                <w:sz w:val="16"/>
              </w:rPr>
              <w:t>Gestão de horas extras por grupo e funcionário</w:t>
            </w:r>
          </w:p>
        </w:tc>
        <w:tc>
          <w:tcPr>
            <w:tcW w:type="dxa" w:w="6775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6"/>
              </w:rPr>
              <w:t>Definição de referência de horas extras por grupo de colaboradores, com possibilidade de regra individual prioritária e acompanhamento do acumulado mensal.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  <w:shd w:fill="EEF4F8"/>
          </w:tcPr>
          <w:p>
            <w:r>
              <w:rPr>
                <w:b/>
                <w:color w:val="193E67"/>
                <w:sz w:val="16"/>
              </w:rPr>
              <w:t>Alertas de horas extras via WhatsApp</w:t>
            </w:r>
          </w:p>
        </w:tc>
        <w:tc>
          <w:tcPr>
            <w:tcW w:type="dxa" w:w="6775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6"/>
              </w:rPr>
              <w:t>Notificações automáticas em marcos de 50%, 100% e ultrapassagem da referência, com consolidação dos avisos quando vários marcos forem atingidos simultaneamente.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  <w:shd w:fill="EEF4F8"/>
          </w:tcPr>
          <w:p>
            <w:r>
              <w:rPr>
                <w:b/>
                <w:color w:val="193E67"/>
                <w:sz w:val="16"/>
              </w:rPr>
              <w:t>WhatsApp com múltiplos destinatários</w:t>
            </w:r>
          </w:p>
        </w:tc>
        <w:tc>
          <w:tcPr>
            <w:tcW w:type="dxa" w:w="6775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6"/>
              </w:rPr>
              <w:t>Cadastro de diversos responsáveis por empresa, permitindo que RH, gestores e demais destinatários recebam os alertas definidos.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  <w:shd w:fill="EEF4F8"/>
          </w:tcPr>
          <w:p>
            <w:r>
              <w:rPr>
                <w:b/>
                <w:color w:val="193E67"/>
                <w:sz w:val="16"/>
              </w:rPr>
              <w:t>Fila inteligente e controle antiflood</w:t>
            </w:r>
          </w:p>
        </w:tc>
        <w:tc>
          <w:tcPr>
            <w:tcW w:type="dxa" w:w="6775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6"/>
              </w:rPr>
              <w:t>Fila de envio com espaçamento entre mensagens, consolidação, limite por destinatário, retentativas e validação do número antes do envio.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  <w:shd w:fill="EEF4F8"/>
          </w:tcPr>
          <w:p>
            <w:r>
              <w:rPr>
                <w:b/>
                <w:color w:val="193E67"/>
                <w:sz w:val="16"/>
              </w:rPr>
              <w:t>Acompanhamento de entrega do WhatsApp</w:t>
            </w:r>
          </w:p>
        </w:tc>
        <w:tc>
          <w:tcPr>
            <w:tcW w:type="dxa" w:w="6775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6"/>
              </w:rPr>
              <w:t>Monitoramento dos estados da mensagem, incluindo fila, aceite, entrega e leitura, quando disponibilizados pelo serviço de mensageria.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  <w:shd w:fill="EEF4F8"/>
          </w:tcPr>
          <w:p>
            <w:r>
              <w:rPr>
                <w:b/>
                <w:color w:val="193E67"/>
                <w:sz w:val="16"/>
              </w:rPr>
              <w:t>Logs operacionais por empresa</w:t>
            </w:r>
          </w:p>
        </w:tc>
        <w:tc>
          <w:tcPr>
            <w:tcW w:type="dxa" w:w="6775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6"/>
              </w:rPr>
              <w:t>Área de logs segregada por empresa para acompanhamento de eventos de WhatsApp, ponto, modo offline, sincronização, API e erros, com filtros por período.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  <w:shd w:fill="EEF4F8"/>
          </w:tcPr>
          <w:p>
            <w:r>
              <w:rPr>
                <w:b/>
                <w:color w:val="193E67"/>
                <w:sz w:val="16"/>
              </w:rPr>
              <w:t>Retenção e rastreabilidade de logs</w:t>
            </w:r>
          </w:p>
        </w:tc>
        <w:tc>
          <w:tcPr>
            <w:tcW w:type="dxa" w:w="6775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6"/>
              </w:rPr>
              <w:t>Armazenamento dos logs operacionais por até 90 dias, com níveis de informação, aviso e erro e separação segura entre empresas.</w:t>
            </w:r>
          </w:p>
        </w:tc>
      </w:tr>
      <w:tr>
        <w:trPr>
          <w:cantSplit/>
        </w:trPr>
        <w:tc>
          <w:tcPr>
            <w:tcW w:type="dxa" w:w="2920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  <w:shd w:fill="EEF4F8"/>
          </w:tcPr>
          <w:p>
            <w:r>
              <w:rPr>
                <w:b/>
                <w:color w:val="193E67"/>
                <w:sz w:val="16"/>
              </w:rPr>
              <w:t>Ponto remoto configurável</w:t>
            </w:r>
          </w:p>
        </w:tc>
        <w:tc>
          <w:tcPr>
            <w:tcW w:type="dxa" w:w="6775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6"/>
              </w:rPr>
              <w:t>Possibilidade de habilitar registro remoto conforme política da empresa, com selfie, identificação do dispositivo e regras específicas de segurança para equipes externas.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3. Alertas e automações via WhatsApp</w:t>
      </w:r>
    </w:p>
    <w:p>
      <w:r>
        <w:rPr>
          <w:i w:val="0"/>
        </w:rPr>
        <w:t>O PONTO CERTO utiliza notificações e automações para transformar o controle de jornada em uma ferramenta preventiva de gestão. Entre as funcionalidades disponíveis:</w:t>
      </w:r>
    </w:p>
    <w:p>
      <w:pPr>
        <w:pStyle w:val="ListBullet"/>
        <w:spacing w:after="24"/>
        <w:ind w:left="238"/>
      </w:pPr>
      <w:r>
        <w:rPr>
          <w:sz w:val="17"/>
        </w:rPr>
        <w:t>Lembretes automáticos antes da próxima marcação prevista, inclusive alerta com antecedência configurável;</w:t>
      </w:r>
    </w:p>
    <w:p>
      <w:pPr>
        <w:pStyle w:val="ListBullet"/>
        <w:spacing w:after="24"/>
        <w:ind w:left="238"/>
      </w:pPr>
      <w:r>
        <w:rPr>
          <w:sz w:val="17"/>
        </w:rPr>
        <w:t>Alertas de horas extras por funcionário ou grupo, com marcos de 50%, 100% e ultrapassagem da referência mensal;</w:t>
      </w:r>
    </w:p>
    <w:p>
      <w:pPr>
        <w:pStyle w:val="ListBullet"/>
        <w:spacing w:after="24"/>
        <w:ind w:left="238"/>
      </w:pPr>
      <w:r>
        <w:rPr>
          <w:sz w:val="17"/>
        </w:rPr>
        <w:t>Consolidação automática dos marcos de horas extras quando atingidos simultaneamente, evitando mensagens repetitivas;</w:t>
      </w:r>
    </w:p>
    <w:p>
      <w:pPr>
        <w:pStyle w:val="ListBullet"/>
        <w:spacing w:after="24"/>
        <w:ind w:left="238"/>
      </w:pPr>
      <w:r>
        <w:rPr>
          <w:sz w:val="17"/>
        </w:rPr>
        <w:t>Cadastro de múltiplos destinatários por empresa, permitindo envio para RH, gestores e responsáveis definidos;</w:t>
      </w:r>
    </w:p>
    <w:p>
      <w:pPr>
        <w:pStyle w:val="ListBullet"/>
        <w:spacing w:after="24"/>
        <w:ind w:left="238"/>
      </w:pPr>
      <w:r>
        <w:rPr>
          <w:sz w:val="17"/>
        </w:rPr>
        <w:t>Fila inteligente de mensagens com espaçamento entre envios, limite por destinatário e retentativas graduais em caso de falha;</w:t>
      </w:r>
    </w:p>
    <w:p>
      <w:pPr>
        <w:pStyle w:val="ListBullet"/>
        <w:spacing w:after="24"/>
        <w:ind w:left="238"/>
      </w:pPr>
      <w:r>
        <w:rPr>
          <w:sz w:val="17"/>
        </w:rPr>
        <w:t>Validação do destinatário no WhatsApp antes do envio e tratamento de números inválidos;</w:t>
      </w:r>
    </w:p>
    <w:p>
      <w:pPr>
        <w:pStyle w:val="ListBullet"/>
        <w:spacing w:after="24"/>
        <w:ind w:left="238"/>
      </w:pPr>
      <w:r>
        <w:rPr>
          <w:sz w:val="17"/>
        </w:rPr>
        <w:t>Acompanhamento de status das mensagens, incluindo aceite, entrega e leitura quando informados pelo serviço de mensageria;</w:t>
      </w:r>
    </w:p>
    <w:p>
      <w:pPr>
        <w:pStyle w:val="ListBullet"/>
        <w:spacing w:after="24"/>
        <w:ind w:left="238"/>
      </w:pPr>
      <w:r>
        <w:rPr>
          <w:sz w:val="17"/>
        </w:rPr>
        <w:t>Registro dos eventos de mensageria na área de Logs da empresa para acompanhamento e auditoria operacional;</w:t>
      </w:r>
    </w:p>
    <w:p>
      <w:pPr>
        <w:pStyle w:val="ListBullet"/>
        <w:spacing w:after="24"/>
        <w:ind w:left="238"/>
      </w:pPr>
      <w:r>
        <w:rPr>
          <w:sz w:val="17"/>
        </w:rPr>
        <w:t>Possibilidade de evolução das regras de notificação por ausência de marcação, atrasos, jornadas incompletas e outras ocorrências, conforme parametrização contratada.</w:t>
      </w:r>
    </w:p>
    <w:p>
      <w:pPr>
        <w:pStyle w:val="Heading1"/>
        <w:keepNext/>
      </w:pPr>
      <w:r>
        <w:t>4. Integração e exportação para sistemas de folha e ERP</w:t>
      </w:r>
    </w:p>
    <w:p>
      <w:r>
        <w:rPr>
          <w:i w:val="0"/>
        </w:rPr>
        <w:t>O sistema prevê exportação parametrizável dos dados de jornada para facilitar a integração com os principais sistemas utilizados por escritórios contábeis, Departamento Pessoal e empresas, incluindo SAGE, Domínio Sistemas, Questor, TOTVS/RM, Senior, Alterdata, Contmatic e outros layouts parametrizáveis.</w:t>
      </w:r>
    </w:p>
    <w:p>
      <w:r>
        <w:rPr>
          <w:i w:val="0"/>
        </w:rPr>
        <w:t>Formatos e processo: exportação em arquivos estruturados, como CSV, XLSX/TXT ou layout específico, conforme os campos exigidos pelo sistema de destino. A homologação de um layout específico depende da documentação e das regras de importação disponibilizadas pelo ERP/folha utilizado pela contratante.</w:t>
      </w:r>
    </w:p>
    <w:p>
      <w:pPr>
        <w:pStyle w:val="Heading1"/>
        <w:keepNext/>
      </w:pPr>
      <w:r>
        <w:t>5. Segurança, rastreabilidade, privacidade e LGPD</w:t>
      </w:r>
    </w:p>
    <w:p>
      <w:pPr>
        <w:pStyle w:val="ListBullet"/>
        <w:spacing w:after="24"/>
        <w:ind w:left="238"/>
      </w:pPr>
      <w:r>
        <w:rPr>
          <w:sz w:val="17"/>
        </w:rPr>
        <w:t>Autenticação de usuários e segregação de dados por empresa;</w:t>
      </w:r>
    </w:p>
    <w:p>
      <w:pPr>
        <w:pStyle w:val="ListBullet"/>
        <w:spacing w:after="24"/>
        <w:ind w:left="238"/>
      </w:pPr>
      <w:r>
        <w:rPr>
          <w:sz w:val="17"/>
        </w:rPr>
        <w:t>Registro das informações de marcação com data, hora, usuário e evidências disponíveis;</w:t>
      </w:r>
    </w:p>
    <w:p>
      <w:pPr>
        <w:pStyle w:val="ListBullet"/>
        <w:spacing w:after="24"/>
        <w:ind w:left="238"/>
      </w:pPr>
      <w:r>
        <w:rPr>
          <w:sz w:val="17"/>
        </w:rPr>
        <w:t>Controle de permissões conforme perfil de acesso, com separação entre Master da Empresa, Supervisores e Funcionários;</w:t>
      </w:r>
    </w:p>
    <w:p>
      <w:pPr>
        <w:pStyle w:val="ListBullet"/>
        <w:spacing w:after="24"/>
        <w:ind w:left="238"/>
      </w:pPr>
      <w:r>
        <w:rPr>
          <w:sz w:val="17"/>
        </w:rPr>
        <w:t>Logs operacionais segregados por empresa, com retenção definida e filtros por período, módulo e nível de severidade;</w:t>
      </w:r>
    </w:p>
    <w:p>
      <w:pPr>
        <w:pStyle w:val="ListBullet"/>
        <w:spacing w:after="24"/>
        <w:ind w:left="238"/>
      </w:pPr>
      <w:r>
        <w:rPr>
          <w:sz w:val="17"/>
        </w:rPr>
        <w:t>Monitoramento de eventos de WhatsApp, ponto, sincronização offline e erros técnicos, sem exposição de credenciais, tokens ou chaves sensíveis;</w:t>
      </w:r>
    </w:p>
    <w:p>
      <w:pPr>
        <w:pStyle w:val="ListBullet"/>
        <w:spacing w:after="24"/>
        <w:ind w:left="238"/>
      </w:pPr>
      <w:r>
        <w:rPr>
          <w:sz w:val="17"/>
        </w:rPr>
        <w:t>Proteção contra duplicidade de marcações e preservação do horário original nas sincronizações offline;</w:t>
      </w:r>
    </w:p>
    <w:p>
      <w:pPr>
        <w:pStyle w:val="ListBullet"/>
        <w:spacing w:after="24"/>
        <w:ind w:left="238"/>
      </w:pPr>
      <w:r>
        <w:rPr>
          <w:sz w:val="17"/>
        </w:rPr>
        <w:t>Tratamento de dados pessoais limitado às finalidades necessárias à prestação da plataforma e às configurações realizadas pela empresa usuária;</w:t>
      </w:r>
    </w:p>
    <w:p>
      <w:pPr>
        <w:pStyle w:val="ListBullet"/>
        <w:spacing w:after="24"/>
        <w:ind w:left="238"/>
      </w:pPr>
      <w:r>
        <w:rPr>
          <w:sz w:val="17"/>
        </w:rPr>
        <w:t>Controles de acesso, registro de auditoria e medidas de proteção aplicáveis aos dados pessoais tratados na operação, observando a Lei nº 13.709/2018 (LGPD);</w:t>
      </w:r>
    </w:p>
    <w:p>
      <w:pPr>
        <w:pStyle w:val="ListBullet"/>
        <w:spacing w:after="24"/>
        <w:ind w:left="238"/>
      </w:pPr>
      <w:r>
        <w:rPr>
          <w:sz w:val="17"/>
        </w:rPr>
        <w:t>Possibilidade de evolução de integrações, relatórios e regras conforme a necessidade operacional e contratual.</w:t>
      </w:r>
    </w:p>
    <w:p>
      <w:r>
        <w:br w:type="page"/>
      </w:r>
    </w:p>
    <w:p>
      <w:pPr>
        <w:pStyle w:val="Heading1"/>
        <w:keepNext/>
      </w:pPr>
      <w:r>
        <w:t>6. Conformidade legal, enquadramento REP-P e Ministério do Trabalho e Emprego</w:t>
      </w:r>
    </w:p>
    <w:p>
      <w:r>
        <w:rPr>
          <w:i w:val="0"/>
        </w:rPr>
        <w:t>O PONTO CERTO foi desenvolvido em observância à legislação brasileira aplicável ao controle eletrônico de jornada, com enquadramento funcional compatível com o Registrador Eletrônico de Ponto via Programa (REP-P). A base normativa considera o art. 74 da CLT, com redação dada pela Lei nº 13.874/2019, o Decreto nº 10.854/2021 e a Portaria MTP nº 671/2021, atualmente utilizada pelo Ministério do Trabalho e Emprego (MTE) como referência para os sistemas de registro eletrônico de ponto.</w:t>
      </w:r>
    </w:p>
    <w:p>
      <w:pPr>
        <w:pStyle w:val="ListBullet"/>
        <w:spacing w:after="24"/>
        <w:ind w:left="238"/>
      </w:pPr>
      <w:r>
        <w:rPr>
          <w:sz w:val="17"/>
        </w:rPr>
        <w:t>Enquadramento como REP-P: a Portaria MTP nº 671/2021 reconhece o Registrador Eletrônico de Ponto via Programa (REP-P) como modalidade válida de registro eletrônico de jornada.</w:t>
      </w:r>
    </w:p>
    <w:p>
      <w:pPr>
        <w:pStyle w:val="ListBullet"/>
        <w:spacing w:after="24"/>
        <w:ind w:left="238"/>
      </w:pPr>
      <w:r>
        <w:rPr>
          <w:sz w:val="17"/>
        </w:rPr>
        <w:t>Homologação no MTE: para REP-P não existe exigência de certificação ou homologação do programa junto ao MTE. Conforme orientação oficial do próprio Ministério e o art. 91 da Portaria nº 671/2021, o REP-P deve possuir certificado de registro de programa de computador no Instituto Nacional da Propriedade Industrial (INPI), além de atender aos requisitos técnicos aplicáveis.</w:t>
      </w:r>
    </w:p>
    <w:p>
      <w:pPr>
        <w:pStyle w:val="ListBullet"/>
        <w:spacing w:after="24"/>
        <w:ind w:left="238"/>
      </w:pPr>
      <w:r>
        <w:rPr>
          <w:sz w:val="17"/>
        </w:rPr>
        <w:t>Atestado Técnico e Termo de Responsabilidade: nos termos do art. 89 da Portaria nº 671/2021, o desenvolvedor deve fornecer à empresa usuária o documento que declara o atendimento às exigências aplicáveis, devendo o empregador mantê-lo disponível para apresentação à Inspeção do Trabalho.</w:t>
      </w:r>
    </w:p>
    <w:p>
      <w:pPr>
        <w:pStyle w:val="ListBullet"/>
        <w:spacing w:after="24"/>
        <w:ind w:left="238"/>
      </w:pPr>
      <w:r>
        <w:rPr>
          <w:sz w:val="17"/>
        </w:rPr>
        <w:t>Registro online e offline: o Anexo IX da Portaria nº 671/2021 admite marcações por coletor conectado ao REP-P e, excepcionalmente, em modo offline, com envio posterior das marcações assim que a conexão for restabelecida, preservando a segurança e a rastreabilidade dos dados.</w:t>
      </w:r>
    </w:p>
    <w:p>
      <w:pPr>
        <w:pStyle w:val="ListBullet"/>
        <w:spacing w:after="24"/>
        <w:ind w:left="238"/>
      </w:pPr>
      <w:r>
        <w:rPr>
          <w:sz w:val="17"/>
        </w:rPr>
        <w:t>Arquivos e relatórios legais: o ambiente REP-P deve permitir a geração dos arquivos e relatórios exigidos pela regulamentação, incluindo Arquivo Fonte de Dados (AFD), Arquivo Eletrônico de Jornada (AEJ) e Espelho de Ponto Eletrônico, observadas as especificações oficiais vigentes.</w:t>
      </w:r>
    </w:p>
    <w:p>
      <w:pPr>
        <w:pStyle w:val="ListBullet"/>
        <w:spacing w:after="24"/>
        <w:ind w:left="238"/>
      </w:pPr>
      <w:r>
        <w:rPr>
          <w:sz w:val="17"/>
        </w:rPr>
        <w:t>Comprovante de marcação: quando disponibilizado em meio eletrônico, o comprovante de registro de ponto deve ser fornecido ao trabalhador em PDF e atender aos requisitos de autenticidade, integridade e assinatura eletrônica previstos na Portaria.</w:t>
      </w:r>
    </w:p>
    <w:p>
      <w:pPr>
        <w:pStyle w:val="ListBullet"/>
        <w:spacing w:after="24"/>
        <w:ind w:left="238"/>
      </w:pPr>
      <w:r>
        <w:rPr>
          <w:sz w:val="17"/>
        </w:rPr>
        <w:t>Assinaturas eletrônicas: as saídas eletrônicas regulamentares do REP-P e do programa de tratamento devem observar os padrões de assinatura e certificação digital definidos na Portaria MTP nº 671/2021, inclusive ICP-Brasil, PAdES e CAdES quando aplicáveis.</w:t>
      </w:r>
    </w:p>
    <w:p>
      <w:r>
        <w:rPr>
          <w:b/>
          <w:color w:val="193E67"/>
        </w:rPr>
        <w:t xml:space="preserve">Compromisso de conformidade: </w:t>
      </w:r>
      <w:r>
        <w:t>o PONTO CERTO mantém sua arquitetura e evolução técnica orientadas ao cumprimento das exigências do MTE aplicáveis ao REP-P e ao programa de tratamento de registro de ponto. Eventuais atualizações normativas ou de leiaute oficial serão incorporadas ao produto de acordo com a regulamentação vigente. A utilização do sistema como REP-P pressupõe a manutenção dos requisitos formais exigidos pela Portaria, inclusive o registro do programa no INPI e a emissão do Atestado Técnico e Termo de Responsabilidade.</w:t>
      </w:r>
    </w:p>
    <w:p>
      <w:r>
        <w:rPr>
          <w:b/>
          <w:color w:val="193E67"/>
        </w:rPr>
        <w:t xml:space="preserve">Base legal principal: </w:t>
      </w:r>
      <w:r>
        <w:t>CLT, art. 74; Lei nº 13.874/2019; Decreto nº 10.854/2021; Portaria MTP nº 671/2021 e alterações posteriores; Lei nº 14.063/2020, no que se refere às assinaturas eletrônicas; Lei nº 13.709/2018, no que se refere à proteção de dados pessoais.</w:t>
      </w:r>
    </w:p>
    <w:p>
      <w:r>
        <w:br w:type="page"/>
      </w:r>
    </w:p>
    <w:p>
      <w:pPr>
        <w:pStyle w:val="Heading1"/>
        <w:keepNext/>
      </w:pPr>
      <w:r>
        <w:t>7. Benefícios esperados para a {{empresa_nome}}</w:t>
      </w:r>
    </w:p>
    <w:p>
      <w:pPr>
        <w:spacing w:after="40"/>
      </w:pPr>
      <w:r>
        <w:rPr>
          <w:b/>
          <w:color w:val="007D8C"/>
        </w:rPr>
        <w:t xml:space="preserve">Menos retrabalho: </w:t>
      </w:r>
      <w:r>
        <w:t>Redução da digitação manual e maior organização das informações para o fechamento de ponto.</w:t>
      </w:r>
    </w:p>
    <w:p>
      <w:pPr>
        <w:spacing w:after="40"/>
      </w:pPr>
      <w:r>
        <w:rPr>
          <w:b/>
          <w:color w:val="007D8C"/>
        </w:rPr>
        <w:t xml:space="preserve">Controle de horas extras: </w:t>
      </w:r>
      <w:r>
        <w:t>Alertas preventivos ajudam o gestor a agir antes do crescimento desnecessário do banco de horas ou custo de horas extras.</w:t>
      </w:r>
    </w:p>
    <w:p>
      <w:pPr>
        <w:spacing w:after="40"/>
      </w:pPr>
      <w:r>
        <w:rPr>
          <w:b/>
          <w:color w:val="007D8C"/>
        </w:rPr>
        <w:t xml:space="preserve">Mais evidências: </w:t>
      </w:r>
      <w:r>
        <w:t>Foto, localização, dispositivo e dados da marcação ampliam a rastreabilidade da jornada.</w:t>
      </w:r>
    </w:p>
    <w:p>
      <w:pPr>
        <w:spacing w:after="40"/>
      </w:pPr>
      <w:r>
        <w:rPr>
          <w:b/>
          <w:color w:val="007D8C"/>
        </w:rPr>
        <w:t xml:space="preserve">Gestão em tempo real: </w:t>
      </w:r>
      <w:r>
        <w:t>Acompanhamento da operação sem depender exclusivamente do fechamento mensal.</w:t>
      </w:r>
    </w:p>
    <w:p>
      <w:pPr>
        <w:spacing w:after="40"/>
      </w:pPr>
      <w:r>
        <w:rPr>
          <w:b/>
          <w:color w:val="007D8C"/>
        </w:rPr>
        <w:t xml:space="preserve">Integração com DP: </w:t>
      </w:r>
      <w:r>
        <w:t>Exportações facilitam o envio das informações para folha, contabilidade e ERPs utilizados pela empresa.</w:t>
      </w:r>
    </w:p>
    <w:p>
      <w:pPr>
        <w:spacing w:after="40"/>
      </w:pPr>
      <w:r>
        <w:rPr>
          <w:b/>
          <w:color w:val="007D8C"/>
        </w:rPr>
        <w:t xml:space="preserve">Mobilidade: </w:t>
      </w:r>
      <w:r>
        <w:t>Uso em obras, frentes de serviço, escritórios e equipes externas por aplicativo Android ou PWA no iPhone/iOS, conforme políticas definidas pela empresa.</w:t>
      </w:r>
    </w:p>
    <w:p>
      <w:pPr>
        <w:spacing w:after="40"/>
      </w:pPr>
      <w:r>
        <w:rPr>
          <w:b/>
          <w:color w:val="007D8C"/>
        </w:rPr>
        <w:t xml:space="preserve">Prevenção operacional: </w:t>
      </w:r>
      <w:r>
        <w:t>Alertas antecipados de marcação e de horas extras permitem atuação do gestor antes da ocorrência de desvios relevantes.</w:t>
      </w:r>
    </w:p>
    <w:p>
      <w:pPr>
        <w:spacing w:after="40"/>
      </w:pPr>
      <w:r>
        <w:rPr>
          <w:b/>
          <w:color w:val="007D8C"/>
        </w:rPr>
        <w:t xml:space="preserve">Auditoria simplificada: </w:t>
      </w:r>
      <w:r>
        <w:t>Área de logs por empresa facilita a identificação de falhas de sincronização, mensageria e ocorrências técnicas sem necessidade de acesso ao servidor.</w:t>
      </w:r>
    </w:p>
    <w:p>
      <w:pPr>
        <w:pStyle w:val="Heading1"/>
        <w:keepNext/>
      </w:pPr>
      <w:r>
        <w:t>8. Proposta comercial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3969"/>
        <w:gridCol w:w="2041"/>
      </w:tblGrid>
      <w:tr>
        <w:tc>
          <w:tcPr>
            <w:tcW w:type="dxa" w:w="3532"/>
            <w:shd w:fill="193E67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3532"/>
            <w:shd w:fill="193E67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Condição</w:t>
            </w:r>
          </w:p>
        </w:tc>
        <w:tc>
          <w:tcPr>
            <w:tcW w:type="dxa" w:w="3532"/>
            <w:shd w:fill="193E67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3458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7"/>
              </w:rPr>
              <w:t>Licença Ponto Certo - Plano {{plano_nome}}</w:t>
            </w:r>
          </w:p>
        </w:tc>
        <w:tc>
          <w:tcPr>
            <w:tcW w:type="dxa" w:w="3969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7"/>
              </w:rPr>
              <w:t>Até {{limite_funcionarios}} colaboradores</w:t>
            </w:r>
          </w:p>
        </w:tc>
        <w:tc>
          <w:tcPr>
            <w:tcW w:type="dxa" w:w="2041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7"/>
              </w:rPr>
              <w:t>{{valor_mensal}} / mês</w:t>
            </w:r>
          </w:p>
        </w:tc>
      </w:tr>
      <w:tr>
        <w:trPr>
          <w:cantSplit/>
        </w:trPr>
        <w:tc>
          <w:tcPr>
            <w:tcW w:type="dxa" w:w="3458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7"/>
              </w:rPr>
              <w:t>Implantação e parametrização inicial</w:t>
            </w:r>
          </w:p>
        </w:tc>
        <w:tc>
          <w:tcPr>
            <w:tcW w:type="dxa" w:w="3969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7"/>
              </w:rPr>
              <w:t>Pagamento único</w:t>
            </w:r>
          </w:p>
        </w:tc>
        <w:tc>
          <w:tcPr>
            <w:tcW w:type="dxa" w:w="2041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7"/>
              </w:rPr>
              <w:t>{{valor_implantacao}}</w:t>
            </w:r>
          </w:p>
        </w:tc>
      </w:tr>
      <w:tr>
        <w:trPr>
          <w:cantSplit/>
        </w:trPr>
        <w:tc>
          <w:tcPr>
            <w:tcW w:type="dxa" w:w="3458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7"/>
              </w:rPr>
              <w:t>Exportação padrão para folha/ERP</w:t>
            </w:r>
          </w:p>
        </w:tc>
        <w:tc>
          <w:tcPr>
            <w:tcW w:type="dxa" w:w="3969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7"/>
              </w:rPr>
              <w:t>Inclusa quando contratada</w:t>
            </w:r>
          </w:p>
        </w:tc>
        <w:tc>
          <w:tcPr>
            <w:tcW w:type="dxa" w:w="2041"/>
            <w:tcBorders>
              <w:top w:val="single" w:sz="7" w:color="B8C8D6"/>
              <w:left w:val="single" w:sz="7" w:color="B8C8D6"/>
              <w:bottom w:val="single" w:sz="7" w:color="B8C8D6"/>
              <w:right w:val="single" w:sz="7" w:color="B8C8D6"/>
            </w:tcBorders>
          </w:tcPr>
          <w:p>
            <w:r>
              <w:rPr>
                <w:sz w:val="17"/>
              </w:rPr>
              <w:t>Incluso</w:t>
            </w:r>
          </w:p>
        </w:tc>
      </w:tr>
    </w:tbl>
    <w:p>
      <w:r>
        <w:rPr>
          <w:i w:val="0"/>
        </w:rPr>
        <w:t>Condição de pagamento: mensalidade recorrente, com vencimento a combinar. A implantação é faturada uma única vez na ativação.</w:t>
      </w:r>
    </w:p>
    <w:p>
      <w:r>
        <w:rPr>
          <w:i w:val="0"/>
        </w:rPr>
        <w:t>Responsável: {{responsavel}} | {{email}} | {{telefone}}</w:t>
      </w:r>
    </w:p>
    <w:p>
      <w:r>
        <w:rPr>
          <w:i w:val="0"/>
        </w:rPr>
        <w:t>Recursos contratados: {{recursos}}. Filiais adicionais/contratadas: {{limite_filiais}}.</w:t>
      </w:r>
    </w:p>
    <w:p>
      <w:r>
        <w:rPr>
          <w:i w:val="0"/>
        </w:rPr>
        <w:t>Prazo de implantação: {{prazo_implantacao}} dias. {{observacoes}}</w:t>
      </w:r>
    </w:p>
    <w:p>
      <w:r>
        <w:rPr>
          <w:i w:val="0"/>
        </w:rPr>
        <w:t>As funcionalidades descritas neste documento integram o catálogo do produto. A contratação contempla somente os recursos indicados nas condições comerciais e no contrato correspondente.</w:t>
      </w:r>
    </w:p>
    <w:p>
      <w:r>
        <w:rPr>
          <w:i w:val="0"/>
        </w:rPr>
        <w:t>Customizações e integrações especiais: layouts específicos, APIs de terceiros, integrações sob medida, equipamentos físicos de REP ou necessidades fora do escopo padrão poderão ser avaliados e orçados separadamente.</w:t>
      </w:r>
    </w:p>
    <w:p>
      <w:r>
        <w:br w:type="page"/>
      </w:r>
    </w:p>
    <w:p>
      <w:pPr>
        <w:pStyle w:val="Heading1"/>
        <w:keepNext/>
      </w:pPr>
      <w:r>
        <w:t>9. Escopo inicial de implantação</w:t>
      </w:r>
    </w:p>
    <w:p>
      <w:pPr>
        <w:pStyle w:val="ListBullet"/>
        <w:spacing w:after="24"/>
        <w:ind w:left="238"/>
      </w:pPr>
      <w:r>
        <w:rPr>
          <w:sz w:val="18"/>
        </w:rPr>
        <w:t>Cadastro da empresa e parâmetros principais;</w:t>
      </w:r>
    </w:p>
    <w:p>
      <w:pPr>
        <w:pStyle w:val="ListBullet"/>
        <w:spacing w:after="24"/>
        <w:ind w:left="238"/>
      </w:pPr>
      <w:r>
        <w:rPr>
          <w:sz w:val="18"/>
        </w:rPr>
        <w:t>Configuração inicial de jornada e regras operacionais;</w:t>
      </w:r>
    </w:p>
    <w:p>
      <w:pPr>
        <w:pStyle w:val="ListBullet"/>
        <w:spacing w:after="24"/>
        <w:ind w:left="238"/>
      </w:pPr>
      <w:r>
        <w:rPr>
          <w:sz w:val="18"/>
        </w:rPr>
        <w:t>Cadastro/importação inicial de colaboradores em formato acordado;</w:t>
      </w:r>
    </w:p>
    <w:p>
      <w:pPr>
        <w:pStyle w:val="ListBullet"/>
        <w:spacing w:after="24"/>
        <w:ind w:left="238"/>
      </w:pPr>
      <w:r>
        <w:rPr>
          <w:sz w:val="18"/>
        </w:rPr>
        <w:t>Configuração de locais, raio de geolocalização e regras de marcação;</w:t>
      </w:r>
    </w:p>
    <w:p>
      <w:pPr>
        <w:pStyle w:val="ListBullet"/>
        <w:spacing w:after="24"/>
        <w:ind w:left="238"/>
      </w:pPr>
      <w:r>
        <w:rPr>
          <w:sz w:val="18"/>
        </w:rPr>
        <w:t>Orientação para uso do aplicativo Android e do PWA no iPhone/iOS;</w:t>
      </w:r>
    </w:p>
    <w:p>
      <w:pPr>
        <w:pStyle w:val="ListBullet"/>
        <w:spacing w:after="24"/>
        <w:ind w:left="238"/>
      </w:pPr>
      <w:r>
        <w:rPr>
          <w:sz w:val="18"/>
        </w:rPr>
        <w:t>Orientação inicial para os responsáveis pela gestão;</w:t>
      </w:r>
    </w:p>
    <w:p>
      <w:pPr>
        <w:pStyle w:val="ListBullet"/>
        <w:spacing w:after="24"/>
        <w:ind w:left="238"/>
      </w:pPr>
      <w:r>
        <w:rPr>
          <w:sz w:val="18"/>
        </w:rPr>
        <w:t>Configuração dos destinatários e regras iniciais de alertas via WhatsApp, quando contratado;</w:t>
      </w:r>
    </w:p>
    <w:p>
      <w:pPr>
        <w:pStyle w:val="ListBullet"/>
        <w:spacing w:after="24"/>
        <w:ind w:left="238"/>
      </w:pPr>
      <w:r>
        <w:rPr>
          <w:sz w:val="18"/>
        </w:rPr>
        <w:t>Orientação sobre a área de Logs, filtros por período e acompanhamento dos eventos de mensageria e sistema, quando contratado;</w:t>
      </w:r>
    </w:p>
    <w:p>
      <w:pPr>
        <w:pStyle w:val="ListBullet"/>
        <w:spacing w:after="24"/>
        <w:ind w:left="238"/>
      </w:pPr>
      <w:r>
        <w:rPr>
          <w:sz w:val="18"/>
        </w:rPr>
        <w:t>Validação do funcionamento do modo offline, sincronização e fluxo de captura/confirmação da selfie, quando contratado;</w:t>
      </w:r>
    </w:p>
    <w:p>
      <w:pPr>
        <w:pStyle w:val="ListBullet"/>
        <w:spacing w:after="24"/>
        <w:ind w:left="238"/>
      </w:pPr>
      <w:r>
        <w:rPr>
          <w:sz w:val="18"/>
        </w:rPr>
        <w:t>Validação do formato de exportação destinado ao sistema de folha/ERP utilizado pela {{empresa_nome}}, quando contratado.</w:t>
      </w:r>
    </w:p>
    <w:p>
      <w:pPr>
        <w:pStyle w:val="Heading1"/>
        <w:keepNext/>
      </w:pPr>
      <w:r>
        <w:t>10. Suporte, evolução e premissas de operação</w:t>
      </w:r>
    </w:p>
    <w:p>
      <w:pPr>
        <w:pStyle w:val="ListBullet"/>
        <w:spacing w:after="24"/>
        <w:ind w:left="238"/>
      </w:pPr>
      <w:r>
        <w:rPr>
          <w:sz w:val="18"/>
        </w:rPr>
        <w:t>A implantação considera a colaboração da empresa na disponibilização das informações necessárias à parametrização e cadastro inicial;</w:t>
      </w:r>
    </w:p>
    <w:p>
      <w:pPr>
        <w:pStyle w:val="ListBullet"/>
        <w:spacing w:after="24"/>
        <w:ind w:left="238"/>
      </w:pPr>
      <w:r>
        <w:rPr>
          <w:sz w:val="18"/>
        </w:rPr>
        <w:t>Atualizações corretivas e evolutivas da plataforma serão incorporadas conforme o ciclo de desenvolvimento do produto e os recursos contratados;</w:t>
      </w:r>
    </w:p>
    <w:p>
      <w:pPr>
        <w:pStyle w:val="ListBullet"/>
        <w:spacing w:after="24"/>
        <w:ind w:left="238"/>
      </w:pPr>
      <w:r>
        <w:rPr>
          <w:sz w:val="18"/>
        </w:rPr>
        <w:t>Integrações de terceiros, APIs externas, mensageria, ERPs e sistemas de folha dependem também da disponibilidade e das regras técnicas desses fornecedores;</w:t>
      </w:r>
    </w:p>
    <w:p>
      <w:pPr>
        <w:pStyle w:val="ListBullet"/>
        <w:spacing w:after="24"/>
        <w:ind w:left="238"/>
      </w:pPr>
      <w:r>
        <w:rPr>
          <w:sz w:val="18"/>
        </w:rPr>
        <w:t>O uso de câmera, localização, notificações, biometria e funcionamento em segundo plano depende das permissões e capacidades do dispositivo do usuário;</w:t>
      </w:r>
    </w:p>
    <w:p>
      <w:pPr>
        <w:pStyle w:val="ListBullet"/>
        <w:spacing w:after="24"/>
        <w:ind w:left="238"/>
      </w:pPr>
      <w:r>
        <w:rPr>
          <w:sz w:val="18"/>
        </w:rPr>
        <w:t>Demandas específicas fora do escopo padrão poderão ser analisadas tecnicamente e, quando necessário, tratadas por proposta complementar.</w:t>
      </w:r>
    </w:p>
    <w:p>
      <w:pPr>
        <w:pStyle w:val="Heading1"/>
        <w:keepNext/>
      </w:pPr>
      <w:r>
        <w:t>11. Considerações finais</w:t>
      </w:r>
    </w:p>
    <w:p>
      <w:r>
        <w:rPr>
          <w:i w:val="0"/>
        </w:rPr>
        <w:t>A proposta tem como objetivo fornecer uma solução flexível e escalável para a gestão de jornada da {{empresa_nome}}, unindo controle de ponto, mobilidade, rastreabilidade, automações, alertas preventivos, operação online e offline, mensageria por WhatsApp, logs operacionais e integração com os processos de Departamento Pessoal. A solução também observa o marco regulatório aplicável ao registro eletrônico de jornada, com orientação de conformidade aos requisitos do MTE para utilização como REP-P.</w:t>
      </w:r>
    </w:p>
    <w:p>
      <w:pPr>
        <w:pStyle w:val="Heading1"/>
        <w:keepNext/>
      </w:pPr>
      <w:r>
        <w:t>12. Validade e aceite comercial</w:t>
      </w:r>
    </w:p>
    <w:p>
      <w:r>
        <w:rPr>
          <w:i w:val="0"/>
        </w:rPr>
        <w:t>Esta proposta é válida até {{data_validade}}. A aprovação comercial servirá de base para a geração do contrato, que preservará o plano, os limites, os recursos e as condições negociadas nesta revisão.</w:t>
      </w:r>
    </w:p>
    <w:p>
      <w:pPr>
        <w:jc w:val="center"/>
      </w:pPr>
      <w:r>
        <w:rPr>
          <w:i w:val="0"/>
        </w:rPr>
        <w:t>PONTO CERTO agradece a oportunidade de apresentar esta solução e permanece à disposição para esclarecimentos, parametrização do escopo e alinhamento do cronograma de implantação.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09" w:right="822" w:bottom="709" w:left="822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26"/>
      <w:gridCol w:w="3326"/>
      <w:gridCol w:w="3326"/>
    </w:tblGrid>
    <w:tr>
      <w:tc>
        <w:tcPr>
          <w:tcW w:type="dxa" w:w="3326"/>
        </w:tcPr>
        <w:p>
          <w:r>
            <w:drawing>
              <wp:inline xmlns:a="http://schemas.openxmlformats.org/drawingml/2006/main" xmlns:pic="http://schemas.openxmlformats.org/drawingml/2006/picture">
                <wp:extent cx="630000" cy="2507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00" cy="2507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326"/>
        </w:tcPr>
        <w:p>
          <w:pPr>
            <w:jc w:val="center"/>
          </w:pPr>
          <w:r>
            <w:rPr>
              <w:color w:val="606C76"/>
              <w:sz w:val="14"/>
            </w:rPr>
            <w:t>PONTO CERTO - CNPJ 67.609.840/0001-27 | Proposta comercial confidencial</w:t>
          </w:r>
        </w:p>
      </w:tc>
      <w:tc>
        <w:tcPr>
          <w:tcW w:type="dxa" w:w="3326"/>
        </w:tcPr>
        <w:p>
          <w:pPr>
            <w:jc w:val="right"/>
          </w:pPr>
          <w:r>
            <w:rPr>
              <w:color w:val="606C76"/>
              <w:sz w:val="14"/>
            </w:rPr>
            <w:t xml:space="preserve">Página </w:t>
          </w:r>
          <w:r/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89"/>
      <w:gridCol w:w="4989"/>
    </w:tblGrid>
    <w:tr>
      <w:tc>
        <w:tcPr>
          <w:tcW w:type="dxa" w:w="4989"/>
        </w:tcPr>
        <w:p>
          <w:r>
            <w:drawing>
              <wp:inline xmlns:a="http://schemas.openxmlformats.org/drawingml/2006/main" xmlns:pic="http://schemas.openxmlformats.org/drawingml/2006/picture">
                <wp:extent cx="882000" cy="3510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2000" cy="3510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89"/>
        </w:tcPr>
        <w:p>
          <w:pPr>
            <w:jc w:val="right"/>
          </w:pPr>
          <w:r>
            <w:rPr>
              <w:b/>
              <w:color w:val="193E67"/>
              <w:sz w:val="17"/>
            </w:rPr>
            <w:t>PROPOSTA COMERCIAL</w:t>
          </w:r>
          <w:r>
            <w:rPr>
              <w:color w:val="606C76"/>
              <w:sz w:val="14"/>
            </w:rPr>
            <w:br/>
            <w:t>PONTO CERTO | Sistema de Gestão de Jornada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193E67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007D8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00"/>
      <w:contextualSpacing/>
    </w:pPr>
    <w:rPr>
      <w:rFonts w:asciiTheme="majorHAnsi" w:eastAsiaTheme="majorEastAsia" w:hAnsiTheme="majorHAnsi" w:cstheme="majorBidi" w:ascii="Aptos" w:hAnsi="Aptos"/>
      <w:b/>
      <w:color w:val="193E6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