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80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ResNet 论文精读与源码注释 · 补充章节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07080"/>
          <w:sz w:val="21"/>
          <w:szCs w:val="21"/>
        </w:rPr>
        <w:t xml:space="preserve">本文件为原报告的补充部分，涵盖论文核心内容精读、网络结构详解、实验结果分析、方法对比及完整使用示例。</w:t>
      </w:r>
    </w:p>
    <w:p>
      <w:pPr>
        <w:pBdr>
          <w:bottom w:val="single" w:color="1B3A6B" w:sz="8" w:space="1"/>
        </w:pBdr>
        <w:spacing w:after="60" w:before="0"/>
      </w:pPr>
    </w:p>
    <w:p>
      <w:pPr>
        <w:spacing w:after="60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十、论文核心方法精读</w:t>
      </w:r>
    </w:p>
    <w:p>
      <w:pPr>
        <w:spacing w:after="6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10.1  退化问题的发现与定义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在 ResNet 提出之前，研究者普遍认为「更深的网络必然能达到更低的训练误差」，因为深层网络在理论上是浅层网络的超集——只需将新增的层学习成恒等映射，就等价于浅层网络。然而实验结果与此直觉相反：当网络从 20 层加深到 56 层时，训练误差和测试误差同时升高，如下对比：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</w:tblGrid>
      <w:tr>
        <w:tc>
          <w:tcPr>
            <w:tcW w:type="dxa" w:w="18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网络深度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训练误差（CIFAR-10）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测试误差（CIFAR-10）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 层普通网络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~0.26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~0.92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56 层普通网络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~0.43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~1.09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退化：更深反而更差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 层 ResNet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~0.26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~0.91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56 层 ResNet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~0.15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~0.72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残差：更深显著更好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论文将这一现象称为「退化问题」（degradation problem），并明确指出其根源不是过拟合，而是优化困难：深层网络的非线性叠加使梯度在反向传播过程中趋向消失，导致中间层几乎无法有效更新，网络实际学习效果等同于较浅的子集。</w:t>
      </w:r>
    </w:p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10.2  残差学习框架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论文的核心洞见是重新定义学习目标。设某几层堆叠应当逼近的目标映射为 H(x)，则让这些层去学习残差 F(x) := H(x) − x，原始映射变为 F(x) + x。这个改动的深刻之处在于：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4"/>
          <w:left w:val="thick" w:color="2E5FAC" w:sz="12"/>
          <w:bottom w:val="single" w:color="2E5FAC" w:sz="4"/>
          <w:right w:val="single" w:color="2E5FAC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21"/>
                <w:szCs w:val="21"/>
              </w:rPr>
              <w:t xml:space="preserve">若最优映射接近恒等变换（即 H(x) ≈ x），则残差 F(x) ≈ 0，网络只需将权重驱动到接近零的方向，这比让一堆非线性层去精确拟合一个恒等映射容易得多。
反之，若某层确实需要学习非平凡映射，残差框架也不妨碍——F(x) 照样可以学习复杂函数，但加法连接同时保证了梯度的直接回传路径。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在实现层面，快捷连接（shortcut connection）直接将输入 x 绕过若干层加到输出上，既不引入额外参数（维度一致时），也不增加计算量，却从根本上改变了梯度流动的方式：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400"/>
        <w:gridCol w:w="30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梯度反传时，loss 对 x 的偏导数为：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∂loss/∂x = ∂loss/∂out · (∂F/∂x + I)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I 是恒等项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即使 ∂F/∂x → 0，仍有 I 保证梯度不消失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这是残差连接的数学本质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10.3  两种残差块的设计选择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论文针对不同深度的网络设计了两种残差块：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</w:tblGrid>
      <w:tr>
        <w:tc>
          <w:tcPr>
            <w:tcW w:type="dxa" w:w="20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BasicBlock（浅层）</w:t>
            </w:r>
          </w:p>
        </w:tc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Bottleneck（深层）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使用网络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ResNet-18, 34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ResNet-50, 101, 152</w:t>
            </w:r>
          </w:p>
        </w:tc>
      </w:tr>
      <w:tr>
        <w:tc>
          <w:tcPr>
            <w:tcW w:type="dxa" w:w="2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层结构</w:t>
            </w:r>
          </w:p>
        </w:tc>
        <w:tc>
          <w:tcPr>
            <w:tcW w:type="dxa" w:w="3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3×3 → BN → ReLU → 3×3</w:t>
            </w:r>
          </w:p>
        </w:tc>
        <w:tc>
          <w:tcPr>
            <w:tcW w:type="dxa" w:w="3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1×1 → 3×3 → 1×1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expansion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1（通道数不变）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4（输出通道×4）</w:t>
            </w:r>
          </w:p>
        </w:tc>
      </w:tr>
      <w:tr>
        <w:tc>
          <w:tcPr>
            <w:tcW w:type="dxa" w:w="2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参数量示例</w:t>
            </w:r>
          </w:p>
        </w:tc>
        <w:tc>
          <w:tcPr>
            <w:tcW w:type="dxa" w:w="3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3×3×64×64×2 ≈ 73K</w:t>
            </w:r>
          </w:p>
        </w:tc>
        <w:tc>
          <w:tcPr>
            <w:tcW w:type="dxa" w:w="3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1×64×64+3×64×64+1×64×256 ≈ 70K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计算量对比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基准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Bottleneck参数相当但表达力更强</w:t>
            </w:r>
          </w:p>
        </w:tc>
      </w:tr>
      <w:tr>
        <w:tc>
          <w:tcPr>
            <w:tcW w:type="dxa" w:w="2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设计意图</w:t>
            </w:r>
          </w:p>
        </w:tc>
        <w:tc>
          <w:tcPr>
            <w:tcW w:type="dxa" w:w="3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结构简单，适合中等深度</w:t>
            </w:r>
          </w:p>
        </w:tc>
        <w:tc>
          <w:tcPr>
            <w:tcW w:type="dxa" w:w="3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降维后再升维，深层网络参数可控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Bottleneck 的「降维-处理-升维」策略是工程上的重要权衡：1×1 卷积先将 256 通道压缩到 64（降低 4×），3×3 卷积在较窄的特征空间内进行空间建模，最后 1×1 再升回 256。相比直接用两个 3×3 处理 256 通道，参数量减少约 9×，且实验表明精度几乎无损。</w:t>
      </w:r>
    </w:p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10.4  快捷连接的三种选项与论文选择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对于维度不一致时的快捷连接，论文列举了三种方案并通过实验比较：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2200"/>
      </w:tblGrid>
      <w:tr>
        <w:tc>
          <w:tcPr>
            <w:tcW w:type="dxa" w:w="1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28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参数量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实验误差（ImageNet Top-1）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方案 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零填充（补零扩维）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0（无参数）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76.4%（对比基准）</w:t>
            </w:r>
          </w:p>
        </w:tc>
      </w:tr>
      <w:tr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方案 B</w:t>
            </w:r>
          </w:p>
        </w:tc>
        <w:tc>
          <w:tcPr>
            <w:tcW w:type="dxa" w:w="2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维度不匹配时用 1×1 投影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少量额外参数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76.8%（+0.4%）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方案 C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所有快捷连接均用 1×1 投影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参数最多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77.1%（+0.7%）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最终论文采用方案 B（即 torchvision 代码中 downsample 的实现），兼顾参数效率与精度。方案 A 的零填充无法学习任何特征变换，方案 C 引入的额外参数意义有限且增加计算成本。</w:t>
      </w:r>
    </w:p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10.5  批归一化（BN）的使用规范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论文中所有卷积层后均紧跟批归一化（BN），且激活函数 ReLU 位于 BN 之后，形成固定范式 Conv → BN → ReLU。这个顺序有充分依据：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4"/>
          <w:left w:val="thick" w:color="2E5FAC" w:sz="12"/>
          <w:bottom w:val="single" w:color="2E5FAC" w:sz="4"/>
          <w:right w:val="single" w:color="2E5FAC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21"/>
                <w:szCs w:val="21"/>
              </w:rPr>
              <w:t xml:space="preserve">BN 在 ReLU 之前：输出为近零均值，ReLU 截断负值后激活值分布更均匀，减少「死神经元」（dead ReLU）问题。
若将 ReLU 放在 BN 之前：激活后分布偏正值，BN 虽可归一化但失去了抑制极端值的时机。
注：后续研究（Pre-Activation ResNet，He et al. 2016）探索了 BN-ReLU-Conv 的前置激活顺序，在极深网络（1000层）上有进一步提升，但主流 ResNet 实现仍沿用原始顺序。</w:t>
            </w:r>
          </w:p>
        </w:tc>
      </w:tr>
    </w:tbl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十一、完整网络结构详解</w:t>
      </w:r>
    </w:p>
    <w:p>
      <w:pPr>
        <w:spacing w:after="6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11.1  ResNet-50 层级结构（以 224×224 输入为例）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000"/>
        <w:gridCol w:w="2400"/>
        <w:gridCol w:w="1400"/>
        <w:gridCol w:w="1200"/>
        <w:gridCol w:w="2400"/>
      </w:tblGrid>
      <w:tr>
        <w:tc>
          <w:tcPr>
            <w:tcW w:type="dxa" w:w="10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4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输出尺寸</w:t>
            </w:r>
          </w:p>
        </w:tc>
        <w:tc>
          <w:tcPr>
            <w:tcW w:type="dxa" w:w="1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通道数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块数 / 步幅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输入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RGB 图像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224×224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conv1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7×7 Conv, BN, ReLU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112×112</w:t>
            </w:r>
          </w:p>
        </w:tc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64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stride=2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pool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3×3 MaxPool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56×56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stride=2</w:t>
            </w:r>
          </w:p>
        </w:tc>
      </w:tr>
      <w:tr>
        <w:tc>
          <w:tcPr>
            <w:tcW w:type="dxa" w:w="1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layer1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Bottleneck ×3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56×56</w:t>
            </w:r>
          </w:p>
        </w:tc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256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stride=1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layer2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Bottleneck ×4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28×28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512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stride=2（block1）</w:t>
            </w:r>
          </w:p>
        </w:tc>
      </w:tr>
      <w:tr>
        <w:tc>
          <w:tcPr>
            <w:tcW w:type="dxa" w:w="1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layer3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Bottleneck ×6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14×14</w:t>
            </w:r>
          </w:p>
        </w:tc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1024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stride=2（block1）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layer4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Bottleneck ×3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7×7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2048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stride=2（block1）</w:t>
            </w:r>
          </w:p>
        </w:tc>
      </w:tr>
      <w:tr>
        <w:tc>
          <w:tcPr>
            <w:tcW w:type="dxa" w:w="1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avgpool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AdaptiveAvgPool2d(1,1)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1×1</w:t>
            </w:r>
          </w:p>
        </w:tc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2048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fc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Linear(2048, 1000)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1000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关键规律：每个 stage 第一个 Bottleneck 块负责下采样（stride=2）和通道升维，其余块保持尺寸和通道不变；通道数依次翻倍（64 → 128 → 256 → 512），空间尺寸依次减半（56 → 28 → 14 → 7）。</w:t>
      </w:r>
    </w:p>
    <w:p>
      <w:pPr>
        <w:spacing w:after="80" w:before="0"/>
      </w:pPr>
    </w:p>
    <w:tbl>
      <w:tblPr>
        <w:tblW w:type="dxa" w:w="8400"/>
        <w:tblInd w:type="auto" w:w="240"/>
        <w:tblBorders>
          <w:top w:val="single" w:color="7A5200" w:sz="4"/>
          <w:left w:val="thick" w:color="7A5200" w:sz="12"/>
          <w:bottom w:val="single" w:color="7A5200" w:sz="4"/>
          <w:right w:val="single" w:color="7A5200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21"/>
                <w:szCs w:val="21"/>
              </w:rPr>
              <w:t xml:space="preserve">常见误解：ResNet-50 的层数计数方式——1（conv1）+ 3×3（layer1）+ 4×3（layer2）+ 6×3（layer3）+ 3×3（layer4）+ 1（fc）= 1+9+12+18+9+1 = 50 层，每个 Bottleneck 有 3 个卷积层（不计BN和激活）。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11.2  四个阶段的通道变化全景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以 ResNet-50 的 layer1 首个 Bottleneck 为例，追踪张量形状的完整变化路径：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400"/>
        <w:gridCol w:w="30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进入 layer1 第一个 Bottleneck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inplanes=64, planes=64, expansion=4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x:     [B, 64,  56, 56]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来自 maxpool 的输出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主路径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conv1: [B, 64,  56, 56]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 降维，64→64（此处不降）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conv2: [B, 64,  56, 56]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3×3 空间卷积，stride=1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conv3: [B, 256, 56, 56]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 升维，64→256（×expansion=4）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捷径（维度不匹配，需投影）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downsample(x): [B, 256, 56, 56]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conv1×1(64→256) + BN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out = F(x) + downsample(x)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[B,256,56,56] + [B,256,56,56] ✓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11.3  感受野增长规律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理论感受野（receptive field）随网络深度累积，但实际有效感受野远小于理论值。ResNet 通过控制步幅和池化，在保证特征语义的同时维持合理的感受野：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2600"/>
      </w:tblGrid>
      <w:tr>
        <w:tc>
          <w:tcPr>
            <w:tcW w:type="dxa" w:w="18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阶段结束</w:t>
            </w:r>
          </w:p>
        </w:tc>
        <w:tc>
          <w:tcPr>
            <w:tcW w:type="dxa" w:w="18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理论感受野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特征图分辨率</w:t>
            </w:r>
          </w:p>
        </w:tc>
        <w:tc>
          <w:tcPr>
            <w:tcW w:type="dxa" w:w="26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感受野/分辨率比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conv1+pool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11×11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56×56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约 20%</w:t>
            </w:r>
          </w:p>
        </w:tc>
      </w:tr>
      <w:tr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layer1</w:t>
            </w:r>
          </w:p>
        </w:tc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55×55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56×56</w:t>
            </w:r>
          </w:p>
        </w:tc>
        <w:tc>
          <w:tcPr>
            <w:tcW w:type="dxa" w:w="2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约 98%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layer2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135×135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28×28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超出原图范围</w:t>
            </w:r>
          </w:p>
        </w:tc>
      </w:tr>
      <w:tr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layer3</w:t>
            </w:r>
          </w:p>
        </w:tc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~250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14×14</w:t>
            </w:r>
          </w:p>
        </w:tc>
        <w:tc>
          <w:tcPr>
            <w:tcW w:type="dxa" w:w="2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覆盖全图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layer4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~400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7×7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深度语义特征</w:t>
            </w:r>
          </w:p>
        </w:tc>
      </w:tr>
    </w:tbl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十二、论文实验结果</w:t>
      </w:r>
    </w:p>
    <w:p>
      <w:pPr>
        <w:spacing w:after="6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12.1  ImageNet LSVRC 2015 分类结果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论文在 ImageNet（128 万训练图像，1000 类）上进行了系统评估，以下为原论文 Table 6 的核心数据：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600"/>
        <w:gridCol w:w="900"/>
        <w:gridCol w:w="1400"/>
        <w:gridCol w:w="1600"/>
        <w:gridCol w:w="1600"/>
        <w:gridCol w:w="1300"/>
      </w:tblGrid>
      <w:tr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9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层数</w:t>
            </w:r>
          </w:p>
        </w:tc>
        <w:tc>
          <w:tcPr>
            <w:tcW w:type="dxa" w:w="14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参数量(M)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Top-1 错误率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Top-5 错误率</w:t>
            </w:r>
          </w:p>
        </w:tc>
        <w:tc>
          <w:tcPr>
            <w:tcW w:type="dxa" w:w="13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VGG-16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138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28.07%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9.33%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2014 亚军</w:t>
            </w:r>
          </w:p>
        </w:tc>
      </w:tr>
      <w:tr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GoogLeNet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6.8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9.15%</w:t>
            </w:r>
          </w:p>
        </w:tc>
        <w:tc>
          <w:tcPr>
            <w:tcW w:type="dxa" w:w="13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2014 冠军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PReLU-Net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24.27%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7.38%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当时最优</w:t>
            </w:r>
          </w:p>
        </w:tc>
      </w:tr>
      <w:tr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ResNet-34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34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21.8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25.03%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7.76%</w:t>
            </w:r>
          </w:p>
        </w:tc>
        <w:tc>
          <w:tcPr>
            <w:tcW w:type="dxa" w:w="13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BasicBlock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ResNet-50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25.6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22.85%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6.71%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Bottleneck</w:t>
            </w:r>
          </w:p>
        </w:tc>
      </w:tr>
      <w:tr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ResNet-101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101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44.5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21.75%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6.05%</w:t>
            </w:r>
          </w:p>
        </w:tc>
        <w:tc>
          <w:tcPr>
            <w:tcW w:type="dxa" w:w="13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ResNet-152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152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60.2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21.43%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5.71%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 集成×6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152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19.38%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4.49%</w:t>
            </w:r>
          </w:p>
        </w:tc>
        <w:tc>
          <w:tcPr>
            <w:tcW w:type="dxa" w:w="13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ILSVRC 2015冠军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ResNet-152 以 60.2M 参数超越了参数量是其两倍的 VGG-16（138M），同时错误率大幅下降。六模型集成更将 Top-5 错误率降至 3.57%，远超人类参考水平（约 5.1%）。</w:t>
      </w:r>
    </w:p>
    <w:p>
      <w:pPr>
        <w:spacing w:after="80" w:before="0"/>
      </w:pPr>
    </w:p>
    <w:tbl>
      <w:tblPr>
        <w:tblW w:type="dxa" w:w="8400"/>
        <w:tblInd w:type="auto" w:w="240"/>
        <w:tblBorders>
          <w:top w:val="single" w:color="2E5FAC" w:sz="4"/>
          <w:left w:val="thick" w:color="2E5FAC" w:sz="12"/>
          <w:bottom w:val="single" w:color="2E5FAC" w:sz="4"/>
          <w:right w:val="single" w:color="2E5FAC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21"/>
                <w:szCs w:val="21"/>
              </w:rPr>
              <w:t xml:space="preserve">重要数据点：ResNet-34 的 Top-1 错误率（25.03%）已优于 34 层普通网络（26.70%），降低 1.67 个百分点，直接验证了残差学习对退化问题的解决效果。两者参数量完全相同，差异仅来自快捷连接。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12.2  CIFAR-10 超深网络实验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为验证残差框架对极深网络的适用性，论文在 CIFAR-10 上测试了 20 层到 1202 层的网络，这是当时深度学习史上最深的实验：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4200"/>
      </w:tblGrid>
      <w:tr>
        <w:tc>
          <w:tcPr>
            <w:tcW w:type="dxa" w:w="1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层数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参数量(M)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测试误差</w:t>
            </w:r>
          </w:p>
        </w:tc>
        <w:tc>
          <w:tcPr>
            <w:tcW w:type="dxa" w:w="4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0.27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8.75%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基准</w:t>
            </w:r>
          </w:p>
        </w:tc>
      </w:tr>
      <w:tr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32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0.46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7.51%</w:t>
            </w:r>
          </w:p>
        </w:tc>
        <w:tc>
          <w:tcPr>
            <w:tcW w:type="dxa" w:w="4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深度提升有效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44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0.66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7.17%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56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0.85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6.97%</w:t>
            </w:r>
          </w:p>
        </w:tc>
        <w:tc>
          <w:tcPr>
            <w:tcW w:type="dxa" w:w="4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110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1.7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6.43%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最优（单模型）</w:t>
            </w:r>
          </w:p>
        </w:tc>
      </w:tr>
      <w:tr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1202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19.4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7.93%</w:t>
            </w:r>
          </w:p>
        </w:tc>
        <w:tc>
          <w:tcPr>
            <w:tcW w:type="dxa" w:w="4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轻微过拟合，但无退化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注意 1202 层网络的测试误差（7.93%）高于 110 层（6.43%），这是真正的过拟合——训练集太小（5万样本）不足以支撑 19.4M 参数的超深网络。但关键在于：1202 层网络的训练误差是正常下降的，证明残差框架已彻底消除退化问题，将瓶颈转移到了泛化问题（过拟合），这是一个常规的正则化问题，可用 Dropout、数据增强等手段解决。</w:t>
      </w:r>
    </w:p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12.3  目标检测与迁移学习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ResNet 作为骨干网络（backbone）在多个视觉任务上验证了迁移学习能力：</w:t>
      </w:r>
    </w:p>
    <w:p>
      <w:pPr>
        <w:spacing w:after="60" w:before="0"/>
      </w:pPr>
    </w:p>
    <w:tbl>
      <w:tblPr>
        <w:tblW w:type="dxa" w:w="10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400"/>
        <w:gridCol w:w="1900"/>
        <w:gridCol w:w="1600"/>
        <w:gridCol w:w="1800"/>
        <w:gridCol w:w="1800"/>
        <w:gridCol w:w="1900"/>
      </w:tblGrid>
      <w:tr>
        <w:tc>
          <w:tcPr>
            <w:tcW w:type="dxa" w:w="14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9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数据集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评估指标</w:t>
            </w:r>
          </w:p>
        </w:tc>
        <w:tc>
          <w:tcPr>
            <w:tcW w:type="dxa" w:w="18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VGG-16 基准</w:t>
            </w:r>
          </w:p>
        </w:tc>
        <w:tc>
          <w:tcPr>
            <w:tcW w:type="dxa" w:w="18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ResNet-101</w:t>
            </w:r>
          </w:p>
        </w:tc>
        <w:tc>
          <w:tcPr>
            <w:tcW w:type="dxa" w:w="19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提升幅度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目标检测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PASCAL VOC 2007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mAP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73.2%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76.4%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+3.2%</w:t>
            </w:r>
          </w:p>
        </w:tc>
      </w:tr>
      <w:tr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目标检测</w:t>
            </w:r>
          </w:p>
        </w:tc>
        <w:tc>
          <w:tcPr>
            <w:tcW w:type="dxa" w:w="1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MS COCO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mAP@0.5</w:t>
            </w:r>
          </w:p>
        </w:tc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39.8%</w:t>
            </w:r>
          </w:p>
        </w:tc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48.4%</w:t>
            </w:r>
          </w:p>
        </w:tc>
        <w:tc>
          <w:tcPr>
            <w:tcW w:type="dxa" w:w="1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+8.6%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语义分割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PASCAL VOC 2012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mIoU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77.7%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80.3%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+2.6%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这组实验说明 ResNet 学习到的特征具有强大的通用性，在分类任务上预训练后，仅替换骨干网络（backbone swap）就能在检测、分割等任务上获得大幅提升，奠定了此后十年迁移学习的基本范式。</w:t>
      </w:r>
    </w:p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十三、与同期方法的横向对比</w:t>
      </w:r>
    </w:p>
    <w:p>
      <w:pPr>
        <w:spacing w:after="6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13.1  架构设计哲学对比</w:t>
      </w:r>
    </w:p>
    <w:p>
      <w:pPr>
        <w:spacing w:after="40" w:before="0"/>
      </w:pPr>
    </w:p>
    <w:tbl>
      <w:tblPr>
        <w:tblW w:type="dxa" w:w="9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400"/>
        <w:gridCol w:w="900"/>
        <w:gridCol w:w="2800"/>
        <w:gridCol w:w="1200"/>
        <w:gridCol w:w="1400"/>
        <w:gridCol w:w="1700"/>
      </w:tblGrid>
      <w:tr>
        <w:tc>
          <w:tcPr>
            <w:tcW w:type="dxa" w:w="14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9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年份</w:t>
            </w:r>
          </w:p>
        </w:tc>
        <w:tc>
          <w:tcPr>
            <w:tcW w:type="dxa" w:w="28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核心思路</w:t>
            </w:r>
          </w:p>
        </w:tc>
        <w:tc>
          <w:tcPr>
            <w:tcW w:type="dxa" w:w="1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最大深度</w:t>
            </w:r>
          </w:p>
        </w:tc>
        <w:tc>
          <w:tcPr>
            <w:tcW w:type="dxa" w:w="14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参数量(M)</w:t>
            </w:r>
          </w:p>
        </w:tc>
        <w:tc>
          <w:tcPr>
            <w:tcW w:type="dxa" w:w="17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Top-5错误率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AlexNet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2012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多层Conv+FC，ReLU+Dropout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15.3%</w:t>
            </w:r>
          </w:p>
        </w:tc>
      </w:tr>
      <w:tr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VGGNet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2014</w:t>
            </w:r>
          </w:p>
        </w:tc>
        <w:tc>
          <w:tcPr>
            <w:tcW w:type="dxa" w:w="2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统一3×3卷积堆叠</w:t>
            </w:r>
          </w:p>
        </w:tc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138</w:t>
            </w:r>
          </w:p>
        </w:tc>
        <w:tc>
          <w:tcPr>
            <w:tcW w:type="dxa" w:w="17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7.3%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GoogLeNet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2014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Inception多尺度并行分支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6.8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6.7%</w:t>
            </w:r>
          </w:p>
        </w:tc>
      </w:tr>
      <w:tr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Highway Net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2015</w:t>
            </w:r>
          </w:p>
        </w:tc>
        <w:tc>
          <w:tcPr>
            <w:tcW w:type="dxa" w:w="2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门控快捷连接（学习通过率）</w:t>
            </w:r>
          </w:p>
        </w:tc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~100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恒等快捷连接（无门控）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152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3.6%</w:t>
            </w:r>
          </w:p>
        </w:tc>
      </w:tr>
      <w:tr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DenseNet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2017</w:t>
            </w:r>
          </w:p>
        </w:tc>
        <w:tc>
          <w:tcPr>
            <w:tcW w:type="dxa" w:w="2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密集连接（每层连接所有前层）</w:t>
            </w:r>
          </w:p>
        </w:tc>
        <w:tc>
          <w:tcPr>
            <w:tcW w:type="dxa" w:w="1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201</w:t>
            </w:r>
          </w:p>
        </w:tc>
        <w:tc>
          <w:tcPr>
            <w:tcW w:type="dxa" w:w="1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3.5%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与 Highway Network（同年 Srivastava et al.）的对比尤为重要：两者均使用快捷连接，但 Highway Network 用可学习的门控（transform gate）控制信息通过比例，引入额外参数且优化更复杂；ResNet 坚持使用纯恒等映射，更简洁、效果更好，这印证了「简单的设计往往是最好的设计」。</w:t>
      </w:r>
    </w:p>
    <w:p>
      <w:pPr>
        <w:spacing w:after="8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13.2  参数效率对比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ResNet 系列的参数效率（精度/参数量）在提出时是最优的，以 ResNet-50 为例：</w:t>
      </w:r>
    </w:p>
    <w:p>
      <w:pPr>
        <w:spacing w:after="60" w:before="0"/>
      </w:pPr>
    </w:p>
    <w:tbl>
      <w:tblPr>
        <w:tblW w:type="dxa" w:w="9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2200"/>
        <w:gridCol w:w="1800"/>
      </w:tblGrid>
      <w:tr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参数量(M)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ImageNet Top-1 精度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精度/参数量比</w:t>
            </w:r>
          </w:p>
        </w:tc>
        <w:tc>
          <w:tcPr>
            <w:tcW w:type="dxa" w:w="18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推理速度（相对）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VGG-16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138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71.5%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0.52%/M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慢（全连接层大）</w:t>
            </w:r>
          </w:p>
        </w:tc>
      </w:tr>
      <w:tr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GoogLeNet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6.8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69.8%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10.3%/M</w:t>
            </w:r>
          </w:p>
        </w:tc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中（Inception模块）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ResNet-50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25.6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76.1%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2.97%/M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快（纯卷积）</w:t>
            </w:r>
          </w:p>
        </w:tc>
      </w:tr>
      <w:tr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ResNet-101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44.5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77.4%</w:t>
            </w:r>
          </w:p>
        </w:tc>
        <w:tc>
          <w:tcPr>
            <w:tcW w:type="dxa" w:w="22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1.74%/M</w:t>
            </w:r>
          </w:p>
        </w:tc>
        <w:tc>
          <w:tcPr>
            <w:tcW w:type="dxa" w:w="18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8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GoogLeNet 虽然参数效率更高，但其 Inception 模块的超参数多、调参复杂，工程实用性不如 ResNet 的简洁结构。ResNet-50 至今仍是工业界性价比最高的骨干网络之一。</w:t>
      </w:r>
    </w:p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十四、完整源码使用示例</w:t>
      </w:r>
    </w:p>
    <w:p>
      <w:pPr>
        <w:spacing w:after="6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14.1  安装与环境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安装 PyTorch（以 CUDA 12.1 为例）</w:t>
            </w:r>
          </w:p>
        </w:tc>
      </w:tr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pip install torch torchvision --index-url \</w:t>
            </w:r>
          </w:p>
        </w:tc>
      </w:tr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https://download.pytorch.org/whl/cu121</w:t>
            </w:r>
          </w:p>
        </w:tc>
      </w:tr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验证安装</w:t>
            </w:r>
          </w:p>
        </w:tc>
      </w:tr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python -c "import torchvision; print(torchvision.__version__)"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14.2  加载预训练模型（推荐写法）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400"/>
        <w:gridCol w:w="30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from torchvision.models import resnet50, ResNet50_Weights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新版 API（V2 权重）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方式一：加载最新预训练权重（推荐）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 = resnet50(weights=ResNet50_Weights.DEFAULT)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DEFAULT 指向最佳可用权重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方式二：指定具体版本权重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 = resnet50(weights=ResNet50_Weights.IMAGENET1K_V2)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ImageNet V2 精度更高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方式三：不加载预训练权重（随机初始化）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 = resnet50(weights=None)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从头训练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旧版写法（已弃用，但仍可用）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model = resnet50(pretrained=True)  # DeprecationWarning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勿用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14.3  图像预处理（与预训练权重配套）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预训练权重要求特定的输入格式——必须使用与训练时完全相同的预处理，否则精度会大幅下降：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400"/>
        <w:gridCol w:w="30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from torchvision.models import ResNet50_Weights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from PIL import Image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从权重对象获取配套预处理（最佳实践）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weights = ResNet50_Weights.DEFAULT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preprocess = weights.transforms()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自动包含Resize/Crop/Normalize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img = Image.open('cat.jpg').convert('RGB')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确保3通道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batch = preprocess(img).unsqueeze(0)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增加batch维度 → [1,3,224,224]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等价的手动写法（供理解，实际用上方自动版）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from torchvision import transforms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transform = transforms.Compose([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transforms.Resize(256),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先缩放短边到256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transforms.CenterCrop(224),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再中心裁剪224×224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transforms.ToTensor(),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转为[0,1]的Tensor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transforms.Normalize(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mean=[0.485, 0.456, 0.406],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ImageNet训练集均值（RGB）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std= [0.229, 0.224, 0.225]),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ImageNet训练集标准差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])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14.4  推理（Inference）完整流程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400"/>
        <w:gridCol w:w="30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import torch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from torchvision.models import resnet50, ResNet50_Weights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weights = ResNet50_Weights.DEFAULT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 = resnet50(weights=weights)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model.eval()    # 关闭 dropout、BN 使用全局统计量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推理必须调用！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使用 torch.no_grad() 关闭梯度计算节省显存和时间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with torch.no_grad():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logits = model(batch)                # [1, 1000]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原始分数（未归一化）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probs  = torch.softmax(logits, dim=1) # [1, 1000]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转为概率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top5   = probs.topk(5)               # 取概率最高5类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将类别索引映射到可读标签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categories = weights.meta['categories']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1000类别名称列表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for score, idx in zip(top5.values[0], top5.indices[0]):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print(f'{categories[idx]:30s}: {score:.1%}')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8400"/>
        <w:tblInd w:type="auto" w:w="240"/>
        <w:tblBorders>
          <w:top w:val="single" w:color="2E5FAC" w:sz="4"/>
          <w:left w:val="thick" w:color="2E5FAC" w:sz="12"/>
          <w:bottom w:val="single" w:color="2E5FAC" w:sz="4"/>
          <w:right w:val="single" w:color="2E5FAC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21"/>
                <w:szCs w:val="21"/>
              </w:rPr>
              <w:t xml:space="preserve">关键注意：model.eval() 的作用是把 BatchNorm 从训练模式（用当前 batch 统计量）切换到推理模式（用训练时累积的全局均值和方差）。忘记调用会导致单张图片推理时 BN 统计极不稳定，精度大幅下降。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14.5  迁移学习：微调（Fine-tuning）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这是 ResNet 在实际工程中最常见的用法——用 ImageNet 预训练权重初始化，替换最后的全连接层，在自定义数据集上微调：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400"/>
        <w:gridCol w:w="30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import torch.nn as nn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from torchvision.models import resnet50, ResNet50_Weights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NUM_CLASSES = 10   # 例：CIFAR-10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改成自己的类别数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 = resnet50(weights=ResNet50_Weights.DEFAULT)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加载预训练权重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策略一：冻结所有层，只训练最后FC（特征提取模式）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for param in model.parameters():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param.requires_grad = False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冻结所有参数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替换最后的全连接层（自动 requires_grad=True）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in_features = model.fc.in_features   # 2048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Bottleneck: 512×4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model.fc = nn.Linear(in_features, NUM_CLASSES)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新FC层默认可训练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策略二：全参数微调（数据量充足时）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for param in model.parameters():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param.requires_grad = True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解冻所有参数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训练循环示意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optimizer = torch.optim.SGD([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{'params': model.layer4.parameters(), 'lr': 1e-4},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深层用小学习率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{'params': model.fc.parameters(),     'lr': 1e-3},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新FC层用大学习率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], momentum=0.9, weight_decay=1e-4)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分层学习率（推荐）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14.6  特征提取（获取中间层特征）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在目标检测、语义分割等下游任务中，常需要提取 ResNet 各阶段的多尺度特征图：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400"/>
        <w:gridCol w:w="30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import torch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from torchvision.models import resnet50, ResNet50_Weights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from torchvision.models.feature_extraction import \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create_feature_extractor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官方特征提取工具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 = resnet50(weights=ResNet50_Weights.DEFAULT)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model.eval()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指定要提取的节点名称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return_nodes = {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'layer1': 'feat_56x56',   # [B, 256,  56, 56]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1/4 分辨率特征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'layer2': 'feat_28x28',   # [B, 512,  28, 28]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1/8 分辨率特征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'layer3': 'feat_14x14',   # [B, 1024, 14, 14]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1/16 分辨率特征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'layer4': 'feat_7x7',     # [B, 2048,  7,  7]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1/32 分辨率特征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}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extractor = create_feature_extractor(model, return_nodes)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with torch.no_grad():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features = extractor(batch)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for name, feat in features.items():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print(f'{name}: {feat.shape}')</w:t>
            </w:r>
          </w:p>
        </w:tc>
        <w:tc>
          <w:tcPr>
            <w:tcW w:type="dxa" w:w="30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打印各尺度特征形状</w:t>
            </w:r>
          </w:p>
        </w:tc>
      </w:tr>
    </w:tbl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十五、常见问题与注意事项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2000"/>
        <w:gridCol w:w="2400"/>
        <w:gridCol w:w="4000"/>
      </w:tblGrid>
      <w:tr>
        <w:tc>
          <w:tcPr>
            <w:tcW w:type="dxa" w:w="20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4000"/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解决方案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推理精度远低于论文报告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忘记 model.eval()，BN 用了 batch 统计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推理前必须调用 model.eval()</w:t>
            </w:r>
          </w:p>
        </w:tc>
      </w:tr>
      <w:tr>
        <w:tc>
          <w:tcPr>
            <w:tcW w:type="dxa" w:w="2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微调时收敛极慢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对预训练层和新FC层用了相同学习率</w:t>
            </w:r>
          </w:p>
        </w:tc>
        <w:tc>
          <w:tcPr>
            <w:tcW w:type="dxa" w:w="4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分层学习率：新层 1e-3，旧层 1e-4 或 1e-5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输入尺寸随意修改后精度下降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预训练在 224×224 上进行，尺寸差异影响 BN 和感受野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微调时保持 224×224 输入，或重新在目标尺寸上训练</w:t>
            </w:r>
          </w:p>
        </w:tc>
      </w:tr>
      <w:tr>
        <w:tc>
          <w:tcPr>
            <w:tcW w:type="dxa" w:w="2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显存溢出（OOM）</w:t>
            </w:r>
          </w:p>
        </w:tc>
        <w:tc>
          <w:tcPr>
            <w:tcW w:type="dxa" w:w="24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未使用 no_grad，梯度图占用大量显存</w:t>
            </w:r>
          </w:p>
        </w:tc>
        <w:tc>
          <w:tcPr>
            <w:tcW w:type="dxa" w:w="4000"/>
            <w:shd w:fill="E8F0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推理时统一包在 with torch.no_grad() 中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层名称报错（如 model.fc）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不同 ResNet 变体的最后层名称不同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用 print(model) 查看实际结构，ResNet 固定为 model.fc</w:t>
            </w:r>
          </w:p>
        </w:tc>
      </w:tr>
    </w:tbl>
    <w:p>
      <w:pPr>
        <w:spacing w:after="160" w:before="0"/>
      </w:pPr>
    </w:p>
    <w:p>
      <w:pPr>
        <w:pBdr>
          <w:bottom w:val="single" w:color="1B3A6B" w:sz="8" w:space="1"/>
        </w:pBdr>
        <w:spacing w:after="60" w:before="0"/>
      </w:pPr>
    </w:p>
    <w:p>
      <w:pPr>
        <w:spacing w:after="40" w:before="0"/>
      </w:pPr>
    </w:p>
    <w:p>
      <w:pPr>
        <w:spacing w:after="80" w:before="60"/>
        <w:ind w:left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补充参考文献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[6] He K, et al. Identity Mappings in Deep Residual Networks. ECCV 2016. arXiv:1603.05027  （Pre-Activation ResNet）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[7] Srivastava R K, et al. Highway Networks. arXiv:1505.00387, 2015  （对比方法）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[8] Huang G, et al. Densely Connected Convolutional Networks. CVPR 2017. arXiv:1608.06993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[9] PyTorch Documentation. torchvision.models. https://pytorch.org/vision/stable/models.html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[10] Wightman R. PyTorch Image Models (timm). https://github.com/huggingface/pytorch-image-models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1"/>
      </w:pBdr>
      <w:spacing w:after="0" w:before="80"/>
      <w:jc w:val="center"/>
    </w:pPr>
    <w:r>
      <w:rPr>
        <w:rFonts w:ascii="Arial" w:cs="Arial" w:eastAsia="Arial" w:hAnsi="Arial"/>
        <w:color w:val="607080"/>
        <w:sz w:val="16"/>
        <w:szCs w:val="16"/>
      </w:rPr>
      <w:t xml:space="preserve">Deep Residual Learning for Image Recognition  ·  </w:t>
    </w:r>
    <w:r>
      <w:rPr>
        <w:rFonts w:ascii="Arial" w:cs="Arial" w:eastAsia="Arial" w:hAnsi="Arial"/>
        <w:color w:val="607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7080"/>
        <w:sz w:val="16"/>
        <w:szCs w:val="16"/>
      </w:rPr>
      <w:t xml:space="preserve">  /  </w:t>
    </w:r>
    <w:r>
      <w:rPr>
        <w:rFonts w:ascii="Arial" w:cs="Arial" w:eastAsia="Arial" w:hAnsi="Arial"/>
        <w:color w:val="607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6" w:space="1"/>
      </w:pBdr>
      <w:spacing w:after="8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ResNet 论文精读与源码注释 · 补充章节</w:t>
    </w:r>
    <w:r>
      <w:rPr>
        <w:rFonts w:ascii="Arial" w:cs="Arial" w:eastAsia="Arial" w:hAnsi="Arial"/>
        <w:color w:val="607080"/>
        <w:sz w:val="18"/>
        <w:szCs w:val="18"/>
      </w:rPr>
      <w:t xml:space="preserve">  ·  第十章至第十五章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2026-04-21T15:01:12.037Z</dcterms:created>
  <dcterms:modified xsi:type="dcterms:W3CDTF">2026-04-21T15:01:12.037Z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