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46"/>
          <w:szCs w:val="46"/>
        </w:rPr>
      </w:pPr>
      <w:bookmarkStart w:colFirst="0" w:colLast="0" w:name="_wd4pnkgfucje" w:id="0"/>
      <w:bookmarkEnd w:id="0"/>
      <w:r w:rsidDel="00000000" w:rsidR="00000000" w:rsidRPr="00000000">
        <w:rPr>
          <w:color w:val="1f1f1f"/>
          <w:sz w:val="46"/>
          <w:szCs w:val="46"/>
          <w:rtl w:val="0"/>
        </w:rPr>
        <w:t xml:space="preserve">IDENTIFICACIÓN DE STAKEHOLDERS</w:t>
      </w:r>
    </w:p>
    <w:p w:rsidR="00000000" w:rsidDel="00000000" w:rsidP="00000000" w:rsidRDefault="00000000" w:rsidRPr="00000000" w14:paraId="00000002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uepqwi2ia2l0" w:id="1"/>
      <w:bookmarkEnd w:id="1"/>
      <w:r w:rsidDel="00000000" w:rsidR="00000000" w:rsidRPr="00000000">
        <w:rPr>
          <w:color w:val="1f1f1f"/>
          <w:sz w:val="34"/>
          <w:szCs w:val="34"/>
          <w:rtl w:val="0"/>
        </w:rPr>
        <w:t xml:space="preserve">Información General del Proyecto</w:t>
      </w:r>
    </w:p>
    <w:tbl>
      <w:tblPr>
        <w:tblStyle w:val="Table1"/>
        <w:tblW w:w="9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0"/>
        <w:gridCol w:w="7335"/>
        <w:tblGridChange w:id="0">
          <w:tblGrid>
            <w:gridCol w:w="2580"/>
            <w:gridCol w:w="733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 /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Nombre del Proyecto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Centralización de Capacitaciones ONG (Inferido)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Fecha de Inicio Planeada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Lunes 16 de marzo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Fecha de Fin Planeada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Mayo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Sponsor (Patrocinador)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Valentina (Toma las decisiones finales)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Director(es) del Proyecto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Agustin Carter, Javier Benavides, Diego Muñoz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Cliente Interno/Externo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ONG Alumco (Sedes Hualpén y Coyhaique)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Prioridades del Proyecto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Centralizar capacitaciones, cumplir normativas laborales y sanitarias, reducir tiempo presencial y obtener estadísticas.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kseftejw6mmy" w:id="2"/>
      <w:bookmarkEnd w:id="2"/>
      <w:r w:rsidDel="00000000" w:rsidR="00000000" w:rsidRPr="00000000">
        <w:rPr>
          <w:color w:val="1f1f1f"/>
          <w:sz w:val="34"/>
          <w:szCs w:val="34"/>
          <w:rtl w:val="0"/>
        </w:rPr>
        <w:t xml:space="preserve">Identificación de los Stakeholders</w:t>
      </w:r>
    </w:p>
    <w:tbl>
      <w:tblPr>
        <w:tblStyle w:val="Table2"/>
        <w:tblW w:w="11010.0" w:type="dxa"/>
        <w:jc w:val="left"/>
        <w:tblInd w:w="-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5"/>
        <w:gridCol w:w="1320"/>
        <w:gridCol w:w="1155"/>
        <w:gridCol w:w="900"/>
        <w:gridCol w:w="930"/>
        <w:gridCol w:w="1020"/>
        <w:gridCol w:w="1005"/>
        <w:gridCol w:w="1215"/>
        <w:gridCol w:w="720"/>
        <w:gridCol w:w="2070"/>
        <w:tblGridChange w:id="0">
          <w:tblGrid>
            <w:gridCol w:w="675"/>
            <w:gridCol w:w="1320"/>
            <w:gridCol w:w="1155"/>
            <w:gridCol w:w="900"/>
            <w:gridCol w:w="930"/>
            <w:gridCol w:w="1020"/>
            <w:gridCol w:w="1005"/>
            <w:gridCol w:w="1215"/>
            <w:gridCol w:w="720"/>
            <w:gridCol w:w="207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Rol en 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Cargo/Puesto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Requisitos / Expectativas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Interno / 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Ejemplo (Acción/Rol)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Valentina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Stakeholder principal (Decisora / Admin. por sede)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Representante legal y empleadora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Sedes Hualpén y Coyhaique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[No especificado]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Centralizar capacitaciones, cumplir normativas, obtener estadísticas. Requiere exportación a Excel y roles diferenciados (capacitador externo/interno).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Interno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Toma las decisiones finales, válida mockups, propone funcionalidades y provee documentación.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Javiera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Stakeholder secundario (Posible Admin. por sede)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Directora Técnica y Socia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Sedes Hualpén y Coyhaique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Vía Valentina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Que el sistema cumpla con las necesidades de diseño y funcionalidad de la ONG.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Interno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Influye en decisiones de diseño y funcionalidad sin interactuar directamente con el equipo.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Encargada de personal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Stakeholder operativo (Admin. por sede)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Encargada de personal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Sedes Hualpén y Coyhaique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[No especificado]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Descarga e impresión ágil de certificados para carpetas físicas del personal. Flujo de administración intuitivo.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Interno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Usuaria principal del módulo de certificados y actor clave para diseñar el flujo de administración.</w:t>
            </w:r>
          </w:p>
        </w:tc>
      </w:tr>
    </w:tbl>
    <w:p w:rsidR="00000000" w:rsidDel="00000000" w:rsidP="00000000" w:rsidRDefault="00000000" w:rsidRPr="00000000" w14:paraId="0000003C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rnvnnyle4p6" w:id="3"/>
      <w:bookmarkEnd w:id="3"/>
      <w:r w:rsidDel="00000000" w:rsidR="00000000" w:rsidRPr="00000000">
        <w:rPr>
          <w:color w:val="1f1f1f"/>
          <w:sz w:val="34"/>
          <w:szCs w:val="34"/>
          <w:rtl w:val="0"/>
        </w:rPr>
        <w:t xml:space="preserve">Matriz de Poder / Interés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Esta matriz permite clasificar a los stakeholders según su nivel de poder (influencia) y grado de interés en el proyecto.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Clasificaciones de referencia: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Administrar de cerca:</w:t>
      </w:r>
      <w:r w:rsidDel="00000000" w:rsidR="00000000" w:rsidRPr="00000000">
        <w:rPr>
          <w:color w:val="1f1f1f"/>
          <w:rtl w:val="0"/>
        </w:rPr>
        <w:t xml:space="preserve"> Alto poder, alto interés. Deben ser involucrados activamente.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Mantener satisfecho:</w:t>
      </w:r>
      <w:r w:rsidDel="00000000" w:rsidR="00000000" w:rsidRPr="00000000">
        <w:rPr>
          <w:color w:val="1f1f1f"/>
          <w:rtl w:val="0"/>
        </w:rPr>
        <w:t xml:space="preserve"> Alto poder, bajo/medio interés. Se informa estratégicamente.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Mantener informado:</w:t>
      </w:r>
      <w:r w:rsidDel="00000000" w:rsidR="00000000" w:rsidRPr="00000000">
        <w:rPr>
          <w:color w:val="1f1f1f"/>
          <w:rtl w:val="0"/>
        </w:rPr>
        <w:t xml:space="preserve"> Bajo poder, alto interés. Requiere comunicación constante.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Monitorear (mínimo esfuerzo):</w:t>
      </w:r>
      <w:r w:rsidDel="00000000" w:rsidR="00000000" w:rsidRPr="00000000">
        <w:rPr>
          <w:color w:val="1f1f1f"/>
          <w:rtl w:val="0"/>
        </w:rPr>
        <w:t xml:space="preserve"> Bajo poder, bajo interés. Solo se les notifica avances clave.</w:t>
      </w:r>
    </w:p>
    <w:tbl>
      <w:tblPr>
        <w:tblStyle w:val="Table3"/>
        <w:tblW w:w="9675.0" w:type="dxa"/>
        <w:jc w:val="left"/>
        <w:tblInd w:w="-25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1065"/>
        <w:gridCol w:w="1170"/>
        <w:gridCol w:w="5025"/>
        <w:tblGridChange w:id="0">
          <w:tblGrid>
            <w:gridCol w:w="2415"/>
            <w:gridCol w:w="1065"/>
            <w:gridCol w:w="1170"/>
            <w:gridCol w:w="50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Interés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Clasificación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Valentina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Administrar de cerca (Toma decisiones finales, válida activamente e impulsa el proyecto)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Javiera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Mantener satisfecha (Socia e influyente, pero no participa directamente)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Encargada de personal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Mantener informada (Actor clave operativo, usuaria principal de módulos críticos)</w:t>
            </w:r>
          </w:p>
        </w:tc>
      </w:tr>
    </w:tbl>
    <w:p w:rsidR="00000000" w:rsidDel="00000000" w:rsidP="00000000" w:rsidRDefault="00000000" w:rsidRPr="00000000" w14:paraId="00000053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md42bc19ws2q" w:id="4"/>
      <w:bookmarkEnd w:id="4"/>
      <w:r w:rsidDel="00000000" w:rsidR="00000000" w:rsidRPr="00000000">
        <w:rPr>
          <w:color w:val="1f1f1f"/>
          <w:sz w:val="34"/>
          <w:szCs w:val="34"/>
          <w:rtl w:val="0"/>
        </w:rPr>
        <w:t xml:space="preserve">Matriz de Evaluación de la Participación de los Stakeholders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Evalúa el nivel de compromiso actual y el nivel deseado para gestionar la participación.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Escala de Participación de referencia: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Desconocedor:</w:t>
      </w:r>
      <w:r w:rsidDel="00000000" w:rsidR="00000000" w:rsidRPr="00000000">
        <w:rPr>
          <w:color w:val="1f1f1f"/>
          <w:rtl w:val="0"/>
        </w:rPr>
        <w:t xml:space="preserve"> No conoce el proyecto.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Reticente:</w:t>
      </w:r>
      <w:r w:rsidDel="00000000" w:rsidR="00000000" w:rsidRPr="00000000">
        <w:rPr>
          <w:color w:val="1f1f1f"/>
          <w:rtl w:val="0"/>
        </w:rPr>
        <w:t xml:space="preserve"> Conoce pero tiene resistencia.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Neutral:</w:t>
      </w:r>
      <w:r w:rsidDel="00000000" w:rsidR="00000000" w:rsidRPr="00000000">
        <w:rPr>
          <w:color w:val="1f1f1f"/>
          <w:rtl w:val="0"/>
        </w:rPr>
        <w:t xml:space="preserve"> No se opone ni apoya.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 apoyo (partidario):</w:t>
      </w:r>
      <w:r w:rsidDel="00000000" w:rsidR="00000000" w:rsidRPr="00000000">
        <w:rPr>
          <w:color w:val="1f1f1f"/>
          <w:rtl w:val="0"/>
        </w:rPr>
        <w:t xml:space="preserve"> Apoya activamente el proyecto.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Líder:</w:t>
      </w:r>
      <w:r w:rsidDel="00000000" w:rsidR="00000000" w:rsidRPr="00000000">
        <w:rPr>
          <w:color w:val="1f1f1f"/>
          <w:rtl w:val="0"/>
        </w:rPr>
        <w:t xml:space="preserve"> Promueve y defiende el proyecto.</w:t>
      </w:r>
    </w:p>
    <w:tbl>
      <w:tblPr>
        <w:tblStyle w:val="Table4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0"/>
        <w:gridCol w:w="1800"/>
        <w:gridCol w:w="1815"/>
        <w:gridCol w:w="1425"/>
        <w:gridCol w:w="3000"/>
        <w:tblGridChange w:id="0">
          <w:tblGrid>
            <w:gridCol w:w="690"/>
            <w:gridCol w:w="1800"/>
            <w:gridCol w:w="1815"/>
            <w:gridCol w:w="1425"/>
            <w:gridCol w:w="300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Estado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Estado Deseado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Estrategia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Valentina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Líder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Líder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Mantener reuniones semanales (martes 11:00 hrs), presentar siempre un avance tangible (mockup/prototipo) previo a la sesión y documentar cada decisión por escrito.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Javiera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Neutral / De apoyo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 apoyo activo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Que Valentina sea el canal único de comunicación, evitando duplicar coordinaciones.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Encargada de personal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[No especificado]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 apoyo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Considerar sus necesidades operativas en el diseño, especialmente para la administración y descarga de certificados.</w:t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