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1CB" w:rsidRDefault="007861C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/>
          <w:b/>
          <w:highlight w:val="white"/>
        </w:rPr>
      </w:pPr>
    </w:p>
    <w:p w:rsidR="007861CB" w:rsidRDefault="009626F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/>
          <w:b/>
          <w:highlight w:val="white"/>
        </w:rPr>
      </w:pPr>
      <w:r>
        <w:rPr>
          <w:rFonts w:ascii="Times New Roman" w:eastAsia="Times New Roman" w:hAnsi="Times New Roman"/>
          <w:b/>
          <w:highlight w:val="white"/>
          <w:lang w:eastAsia="ru-RU"/>
        </w:rPr>
        <w:t>Извещение № 2983/ТЭР</w:t>
      </w:r>
      <w:r>
        <w:rPr>
          <w:rFonts w:ascii="Times New Roman" w:eastAsia="Times New Roman" w:hAnsi="Times New Roman"/>
          <w:b/>
          <w:highlight w:val="white"/>
          <w:lang w:eastAsia="ru-RU"/>
        </w:rPr>
        <w:br w:type="textWrapping" w:clear="all"/>
      </w:r>
      <w:r>
        <w:rPr>
          <w:rFonts w:ascii="Times New Roman" w:eastAsia="Times New Roman" w:hAnsi="Times New Roman"/>
          <w:b/>
          <w:highlight w:val="white"/>
          <w:lang w:eastAsia="ru-RU"/>
        </w:rPr>
        <w:t>о проведении открытого конкурентного отбора в электронной форме</w:t>
      </w:r>
    </w:p>
    <w:p w:rsidR="007861CB" w:rsidRDefault="009626FB">
      <w:pPr>
        <w:tabs>
          <w:tab w:val="left" w:pos="720"/>
          <w:tab w:val="right" w:pos="9356"/>
        </w:tabs>
        <w:spacing w:before="120" w:after="120" w:line="240" w:lineRule="auto"/>
        <w:outlineLvl w:val="0"/>
        <w:rPr>
          <w:rFonts w:ascii="Times New Roman" w:eastAsia="Times New Roman" w:hAnsi="Times New Roman"/>
          <w:highlight w:val="white"/>
        </w:rPr>
      </w:pPr>
      <w:r>
        <w:rPr>
          <w:rFonts w:ascii="Times New Roman" w:eastAsia="Times New Roman" w:hAnsi="Times New Roman"/>
          <w:highlight w:val="white"/>
          <w:lang w:eastAsia="ru-RU"/>
        </w:rPr>
        <w:t>г. Москва</w:t>
      </w:r>
      <w:r>
        <w:rPr>
          <w:rFonts w:ascii="Times New Roman" w:eastAsia="Times New Roman" w:hAnsi="Times New Roman"/>
          <w:highlight w:val="white"/>
          <w:lang w:eastAsia="ru-RU"/>
        </w:rPr>
        <w:tab/>
        <w:t>25.06.2025</w:t>
      </w:r>
    </w:p>
    <w:p w:rsidR="007861CB" w:rsidRDefault="009626FB">
      <w:pPr>
        <w:spacing w:after="0" w:line="240" w:lineRule="auto"/>
        <w:ind w:right="-1" w:firstLine="851"/>
        <w:jc w:val="both"/>
        <w:outlineLvl w:val="0"/>
        <w:rPr>
          <w:rFonts w:ascii="Times New Roman" w:hAnsi="Times New Roman"/>
          <w:highlight w:val="white"/>
        </w:rPr>
      </w:pPr>
      <w:hyperlink r:id="rId7" w:history="1">
        <w:r>
          <w:rPr>
            <w:rFonts w:ascii="Times New Roman" w:hAnsi="Times New Roman"/>
            <w:highlight w:val="white"/>
          </w:rPr>
          <w:t>Общество с ограниченной ответственностью «ГЭХ Закупки»</w:t>
        </w:r>
      </w:hyperlink>
      <w:r>
        <w:rPr>
          <w:rFonts w:ascii="Times New Roman" w:hAnsi="Times New Roman"/>
          <w:highlight w:val="white"/>
        </w:rPr>
        <w:t xml:space="preserve"> (ООО «ГЭХ Закупки») (Адрес: </w:t>
      </w:r>
      <w:r>
        <w:rPr>
          <w:rFonts w:ascii="Times New Roman" w:hAnsi="Times New Roman"/>
          <w:highlight w:val="white"/>
        </w:rPr>
        <w:t>121357, г. Москва, ул. Верейская, д. 17), являясь</w:t>
      </w:r>
      <w:bookmarkStart w:id="0" w:name="пТекст"/>
      <w:r>
        <w:rPr>
          <w:rFonts w:ascii="Times New Roman" w:hAnsi="Times New Roman"/>
          <w:highlight w:val="white"/>
        </w:rPr>
        <w:t xml:space="preserve"> уполномоченным агентом </w:t>
      </w:r>
      <w:bookmarkStart w:id="1" w:name="пТекст2"/>
      <w:bookmarkEnd w:id="0"/>
      <w:r>
        <w:rPr>
          <w:rFonts w:ascii="Times New Roman" w:hAnsi="Times New Roman"/>
          <w:highlight w:val="white"/>
        </w:rPr>
        <w:t>Общества с ограниченной ответственностью «ГЭХ Теплоэнергоремонт» (ООО «ГЭХ ТЭР») (</w:t>
      </w:r>
      <w:bookmarkStart w:id="2" w:name="пТекст1"/>
      <w:bookmarkEnd w:id="1"/>
      <w:r>
        <w:rPr>
          <w:rFonts w:ascii="Times New Roman" w:hAnsi="Times New Roman"/>
          <w:highlight w:val="white"/>
        </w:rPr>
        <w:t xml:space="preserve">117246, г. Москва, ул. Херсонская, д. 43, корп. 3) (далее – Заказчик) </w:t>
      </w:r>
      <w:bookmarkEnd w:id="2"/>
      <w:r>
        <w:rPr>
          <w:rFonts w:ascii="Times New Roman" w:hAnsi="Times New Roman"/>
          <w:highlight w:val="white"/>
        </w:rPr>
        <w:t>и Организатором Конкурентного о</w:t>
      </w:r>
      <w:r>
        <w:rPr>
          <w:rFonts w:ascii="Times New Roman" w:hAnsi="Times New Roman"/>
          <w:highlight w:val="white"/>
        </w:rPr>
        <w:t xml:space="preserve">тбора, объявляет о проведении процедуры открытого конкурентного отбора в электронной форме и приглашает юридических лиц и индивидуальных предпринимателей (далее – Участники), способных на законных основаниях </w:t>
      </w:r>
      <w:r>
        <w:rPr>
          <w:rFonts w:ascii="Times New Roman" w:hAnsi="Times New Roman"/>
          <w:b/>
          <w:highlight w:val="white"/>
        </w:rPr>
        <w:t>выполнить работы по ремонту узлов и деталей круп</w:t>
      </w:r>
      <w:r>
        <w:rPr>
          <w:rFonts w:ascii="Times New Roman" w:hAnsi="Times New Roman"/>
          <w:b/>
          <w:highlight w:val="white"/>
        </w:rPr>
        <w:t xml:space="preserve">ногабаритного энергетического оборудования в заводских условиях для нужд ПАО "ТГК-1" для нужд ООО "ГЭХ ТЭР" </w:t>
      </w:r>
      <w:r>
        <w:rPr>
          <w:rFonts w:ascii="Times New Roman" w:hAnsi="Times New Roman"/>
          <w:highlight w:val="white"/>
        </w:rPr>
        <w:t>(далее – Работы), подавать свои заявки для участия в Конкурентном отборе.</w:t>
      </w: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3402"/>
        <w:gridCol w:w="5245"/>
      </w:tblGrid>
      <w:tr w:rsidR="007861CB">
        <w:trPr>
          <w:trHeight w:val="486"/>
        </w:trPr>
        <w:tc>
          <w:tcPr>
            <w:tcW w:w="709" w:type="dxa"/>
            <w:vAlign w:val="center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after="0"/>
              <w:ind w:left="34"/>
              <w:jc w:val="center"/>
              <w:rPr>
                <w:b/>
                <w:sz w:val="22"/>
                <w:szCs w:val="22"/>
                <w:highlight w:val="white"/>
              </w:rPr>
            </w:pPr>
            <w:r>
              <w:rPr>
                <w:b/>
                <w:sz w:val="22"/>
                <w:szCs w:val="22"/>
                <w:highlight w:val="white"/>
              </w:rPr>
              <w:t>№ п/п</w:t>
            </w:r>
          </w:p>
        </w:tc>
        <w:tc>
          <w:tcPr>
            <w:tcW w:w="8647" w:type="dxa"/>
            <w:gridSpan w:val="2"/>
            <w:vAlign w:val="center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after="0"/>
              <w:jc w:val="center"/>
              <w:rPr>
                <w:b/>
                <w:sz w:val="22"/>
                <w:szCs w:val="22"/>
                <w:highlight w:val="white"/>
              </w:rPr>
            </w:pPr>
            <w:r>
              <w:rPr>
                <w:b/>
                <w:sz w:val="22"/>
                <w:szCs w:val="22"/>
                <w:highlight w:val="white"/>
              </w:rPr>
              <w:t>Информация о Конкурентном отборе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Организатор</w:t>
            </w:r>
          </w:p>
        </w:tc>
        <w:tc>
          <w:tcPr>
            <w:tcW w:w="5245" w:type="dxa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Общество с ограниченной ответственностью «ГЭХ Закупки» (ООО «ГЭХ Закупки»);</w:t>
            </w:r>
          </w:p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Место нахождения, почтовый адрес: 121357, г. Москва, ул. Верейская, д. 17;</w:t>
            </w:r>
          </w:p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jc w:val="both"/>
              <w:rPr>
                <w:color w:val="333399"/>
                <w:sz w:val="22"/>
                <w:szCs w:val="22"/>
                <w:highlight w:val="white"/>
                <w:u w:val="single"/>
              </w:rPr>
            </w:pPr>
            <w:r>
              <w:rPr>
                <w:sz w:val="22"/>
                <w:szCs w:val="22"/>
                <w:highlight w:val="white"/>
              </w:rPr>
              <w:t xml:space="preserve">Электронный адрес: </w:t>
            </w:r>
            <w:hyperlink r:id="rId8" w:history="1">
              <w:r>
                <w:rPr>
                  <w:rStyle w:val="af1"/>
                  <w:sz w:val="22"/>
                  <w:szCs w:val="22"/>
                  <w:highlight w:val="white"/>
                  <w:lang w:val="en-US"/>
                </w:rPr>
                <w:t>info</w:t>
              </w:r>
              <w:r>
                <w:rPr>
                  <w:rStyle w:val="af1"/>
                  <w:sz w:val="22"/>
                  <w:szCs w:val="22"/>
                  <w:highlight w:val="white"/>
                </w:rPr>
                <w:t>@</w:t>
              </w:r>
              <w:r>
                <w:rPr>
                  <w:rStyle w:val="af1"/>
                  <w:sz w:val="22"/>
                  <w:szCs w:val="22"/>
                  <w:highlight w:val="white"/>
                  <w:lang w:val="en-US"/>
                </w:rPr>
                <w:t>geh</w:t>
              </w:r>
              <w:r>
                <w:rPr>
                  <w:rStyle w:val="af1"/>
                  <w:sz w:val="22"/>
                  <w:szCs w:val="22"/>
                  <w:highlight w:val="white"/>
                </w:rPr>
                <w:t>-</w:t>
              </w:r>
              <w:r>
                <w:rPr>
                  <w:rStyle w:val="af1"/>
                  <w:sz w:val="22"/>
                  <w:szCs w:val="22"/>
                  <w:highlight w:val="white"/>
                  <w:lang w:val="en-US"/>
                </w:rPr>
                <w:t>zakupki</w:t>
              </w:r>
              <w:r>
                <w:rPr>
                  <w:rStyle w:val="af1"/>
                  <w:sz w:val="22"/>
                  <w:szCs w:val="22"/>
                  <w:highlight w:val="white"/>
                </w:rPr>
                <w:t>.</w:t>
              </w:r>
              <w:r>
                <w:rPr>
                  <w:rStyle w:val="af1"/>
                  <w:sz w:val="22"/>
                  <w:szCs w:val="22"/>
                  <w:highlight w:val="white"/>
                  <w:lang w:val="en-US"/>
                </w:rPr>
                <w:t>ru</w:t>
              </w:r>
            </w:hyperlink>
            <w:r>
              <w:rPr>
                <w:rStyle w:val="af1"/>
                <w:sz w:val="22"/>
                <w:szCs w:val="22"/>
                <w:highlight w:val="white"/>
              </w:rPr>
              <w:t>;</w:t>
            </w:r>
            <w:r>
              <w:rPr>
                <w:color w:val="333399"/>
                <w:sz w:val="22"/>
                <w:szCs w:val="22"/>
                <w:highlight w:val="white"/>
                <w:u w:val="single"/>
              </w:rPr>
              <w:t xml:space="preserve"> </w:t>
            </w:r>
          </w:p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jc w:val="both"/>
              <w:rPr>
                <w:color w:val="333399"/>
                <w:sz w:val="22"/>
                <w:szCs w:val="22"/>
                <w:highlight w:val="white"/>
                <w:u w:val="single"/>
              </w:rPr>
            </w:pPr>
            <w:r>
              <w:rPr>
                <w:sz w:val="22"/>
                <w:szCs w:val="22"/>
                <w:highlight w:val="white"/>
              </w:rPr>
              <w:t>Контактный телефон – 8</w:t>
            </w:r>
            <w:r>
              <w:rPr>
                <w:sz w:val="22"/>
                <w:szCs w:val="22"/>
                <w:highlight w:val="white"/>
              </w:rPr>
              <w:t xml:space="preserve"> (495) 646-80-27.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Заказчик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Общество с ограниченной ответственностью «ГЭХ Теплоэнергоремонт» (ООО «ГЭХ ТЭР»)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Место нахождения: 117246, г. Москва, ул. Херсонская, д. 43, корп. 3;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Почтовый адрес: 117246, г. Москва, ул. Херсонская, д. 43, корп. 3;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Электронный адрес: </w:t>
            </w:r>
            <w:hyperlink r:id="rId9" w:history="1">
              <w:r>
                <w:rPr>
                  <w:rStyle w:val="af1"/>
                  <w:sz w:val="22"/>
                  <w:szCs w:val="22"/>
                  <w:highlight w:val="white"/>
                </w:rPr>
                <w:t xml:space="preserve">office@tergeh.ru; </w:t>
              </w:r>
            </w:hyperlink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Контактный телефон – 8 (495) 510-43-56.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Предмет Конкурентного отбора</w:t>
            </w:r>
          </w:p>
        </w:tc>
        <w:tc>
          <w:tcPr>
            <w:tcW w:w="5245" w:type="dxa"/>
          </w:tcPr>
          <w:p w:rsidR="007861CB" w:rsidRDefault="009626FB">
            <w:pPr>
              <w:spacing w:before="40" w:after="40" w:line="240" w:lineRule="auto"/>
              <w:jc w:val="both"/>
              <w:rPr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Выполнить работы по ремонту узлов и деталей крупногабаритного энергетического оборудования в заводских усло</w:t>
            </w:r>
            <w:r>
              <w:rPr>
                <w:rFonts w:ascii="Times New Roman" w:hAnsi="Times New Roman"/>
                <w:highlight w:val="white"/>
              </w:rPr>
              <w:t xml:space="preserve">виях для нужд ПАО "ТГК-1". 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spacing w:before="40" w:after="40" w:line="240" w:lineRule="auto"/>
              <w:jc w:val="both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Объем выполнения работ</w:t>
            </w:r>
          </w:p>
        </w:tc>
        <w:tc>
          <w:tcPr>
            <w:tcW w:w="5245" w:type="dxa"/>
          </w:tcPr>
          <w:p w:rsidR="007861CB" w:rsidRDefault="009626FB">
            <w:pPr>
              <w:spacing w:before="40" w:after="40" w:line="240" w:lineRule="auto"/>
              <w:jc w:val="both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Точный объем работ указан в техническом задании (раздел 8, являющемся неотъемлемой частью Документации о Конкурентном отборе).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Место выполнения работ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Согласно техническому заданию, проекту договора являющимися неотъемлемыми частями Документации о Конкурентном отборе.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Способ проведения конкурентной закупки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Открытый конкурентный отбор в электронной форме (Далее – Конкурентный отбор).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Контактные данные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Контактное лицо по организационным и процедурным вопросам – Специалист отдела проведения регламентированных процедур: Сулейманов Руслан Ильдарович;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Контактный телефон – 8 (495) 646-80-27 (доб. 380);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Электронная почта – rsulejmanov@geh-zakupki.ru; 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Контакт</w:t>
            </w:r>
            <w:r>
              <w:rPr>
                <w:sz w:val="22"/>
                <w:szCs w:val="22"/>
                <w:highlight w:val="white"/>
              </w:rPr>
              <w:t xml:space="preserve">ное лицо по вопросам вскрытия заявок – Специалист отдела проведения регламентированных процедур: Беляев Алексей Викторович; 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Контактный телефон – 8 (495) 646-80-27 (доб. 515);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Электронная почта – </w:t>
            </w:r>
            <w:r>
              <w:rPr>
                <w:sz w:val="22"/>
                <w:szCs w:val="22"/>
                <w:highlight w:val="white"/>
                <w:lang w:val="en-US"/>
              </w:rPr>
              <w:t>abeliaev@geh-zakupki.ru</w:t>
            </w:r>
            <w:r>
              <w:rPr>
                <w:sz w:val="22"/>
                <w:szCs w:val="22"/>
                <w:highlight w:val="white"/>
              </w:rPr>
              <w:t>;</w:t>
            </w:r>
            <w:r>
              <w:rPr>
                <w:color w:val="0000FF"/>
                <w:sz w:val="22"/>
                <w:szCs w:val="22"/>
                <w:highlight w:val="white"/>
                <w:u w:val="single"/>
              </w:rPr>
              <w:t xml:space="preserve"> 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lastRenderedPageBreak/>
              <w:t xml:space="preserve">Режим работы – </w:t>
            </w:r>
            <w:r>
              <w:rPr>
                <w:sz w:val="22"/>
                <w:szCs w:val="22"/>
                <w:highlight w:val="white"/>
              </w:rPr>
              <w:t>с пн. по пт. с 8:30 ч. до 17:30 ч.</w:t>
            </w:r>
            <w:r>
              <w:rPr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</w:rPr>
              <w:t>(по московскому времени);</w:t>
            </w:r>
          </w:p>
          <w:p w:rsidR="009626FB" w:rsidRPr="00D55BA6" w:rsidRDefault="009626FB" w:rsidP="009626FB">
            <w:pPr>
              <w:pStyle w:val="afb"/>
              <w:ind w:left="0" w:right="0"/>
              <w:jc w:val="both"/>
              <w:rPr>
                <w:sz w:val="22"/>
                <w:szCs w:val="22"/>
              </w:rPr>
            </w:pPr>
            <w:r w:rsidRPr="00D55BA6">
              <w:rPr>
                <w:sz w:val="22"/>
                <w:szCs w:val="22"/>
              </w:rPr>
              <w:t>Контактное лицо по вопросам Технического задания: Короткова Анна Сергеевна;</w:t>
            </w:r>
          </w:p>
          <w:p w:rsidR="007861CB" w:rsidRDefault="009626FB" w:rsidP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 w:rsidRPr="00D55BA6">
              <w:rPr>
                <w:sz w:val="22"/>
              </w:rPr>
              <w:t>Контактный телефон – 8 (499) 653-53-07 доб. 51-53</w:t>
            </w:r>
            <w:bookmarkStart w:id="3" w:name="_GoBack"/>
            <w:bookmarkEnd w:id="3"/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Порядок предоставления Документации о Конкурентном отборе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Настоящая Документация о К</w:t>
            </w:r>
            <w:r>
              <w:rPr>
                <w:sz w:val="22"/>
                <w:szCs w:val="22"/>
                <w:highlight w:val="white"/>
              </w:rPr>
              <w:t>онкурентном отборе размещена на электронной площадке, одновременно с размещением Извещения и доступна для ознакомления без взимания платы.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Интернет-сайт Организатора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rPr>
                <w:sz w:val="22"/>
                <w:szCs w:val="22"/>
                <w:highlight w:val="white"/>
              </w:rPr>
            </w:pPr>
            <w:hyperlink r:id="rId10" w:history="1">
              <w:r>
                <w:rPr>
                  <w:rStyle w:val="af1"/>
                  <w:color w:val="000000"/>
                  <w:sz w:val="22"/>
                  <w:szCs w:val="22"/>
                  <w:highlight w:val="white"/>
                  <w:u w:val="none"/>
                  <w:lang w:val="en-US"/>
                </w:rPr>
                <w:t>www.geh-zakupki.ru</w:t>
              </w:r>
            </w:hyperlink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  <w:lang w:val="en-US"/>
              </w:rPr>
              <w:t>С</w:t>
            </w:r>
            <w:r>
              <w:rPr>
                <w:sz w:val="22"/>
                <w:szCs w:val="22"/>
                <w:highlight w:val="white"/>
              </w:rPr>
              <w:t>айт электронной площадки</w:t>
            </w:r>
          </w:p>
        </w:tc>
        <w:bookmarkStart w:id="4" w:name="ПЭТП"/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</w:pP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fldChar w:fldCharType="begin"/>
            </w: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instrText>HYPERLINK "https://etpgpb.ru"</w:instrText>
            </w: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fldChar w:fldCharType="separate"/>
            </w:r>
            <w:bookmarkEnd w:id="4"/>
            <w:r>
              <w:rPr>
                <w:rStyle w:val="af1"/>
                <w:sz w:val="22"/>
                <w:szCs w:val="22"/>
                <w:highlight w:val="white"/>
              </w:rPr>
              <w:t>www.etpgpb.ru</w:t>
            </w: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fldChar w:fldCharType="end"/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Порядок регистрации на электронной площадке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Порядок регистрации для участия в Конкурентном отборе указан в разделе «Регистрация» на сайте электронной площадки по адресу: </w:t>
            </w:r>
            <w:bookmarkStart w:id="5" w:name="ПЭТП2"/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fldChar w:fldCharType="begin"/>
            </w: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instrText>HYPERLINK "https://etpgpb.ru"</w:instrText>
            </w: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fldChar w:fldCharType="separate"/>
            </w:r>
            <w:bookmarkEnd w:id="5"/>
            <w:r>
              <w:rPr>
                <w:rStyle w:val="af1"/>
                <w:sz w:val="22"/>
                <w:szCs w:val="22"/>
                <w:highlight w:val="white"/>
              </w:rPr>
              <w:t>www.etpgpb.ru</w:t>
            </w:r>
            <w:r>
              <w:rPr>
                <w:rStyle w:val="af1"/>
                <w:color w:val="000000"/>
                <w:sz w:val="22"/>
                <w:szCs w:val="22"/>
                <w:highlight w:val="white"/>
                <w:u w:val="none"/>
              </w:rPr>
              <w:fldChar w:fldCharType="end"/>
            </w:r>
            <w:r>
              <w:rPr>
                <w:sz w:val="22"/>
                <w:szCs w:val="22"/>
                <w:highlight w:val="white"/>
              </w:rPr>
              <w:t xml:space="preserve"> 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Начальная (максимальная) цена договора (цена лота)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30 000 000,00 руб. (без учета НДС)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(величина договорного коэффициента не может быть больше - 0,8)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Валюта заявки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Российский рубль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Размер, форма, срок и</w:t>
            </w:r>
            <w:r>
              <w:rPr>
                <w:sz w:val="22"/>
                <w:szCs w:val="22"/>
                <w:highlight w:val="white"/>
              </w:rPr>
              <w:t xml:space="preserve"> порядок предоставления обеспечения Заявки на участие в Конкурентном отборе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rPr>
                <w:sz w:val="22"/>
                <w:szCs w:val="22"/>
                <w:highlight w:val="white"/>
              </w:rPr>
            </w:pPr>
            <w:bookmarkStart w:id="6" w:name="пОбеспечение"/>
            <w:r>
              <w:rPr>
                <w:sz w:val="22"/>
                <w:szCs w:val="22"/>
                <w:highlight w:val="white"/>
              </w:rPr>
              <w:t>Не устанавливается</w:t>
            </w:r>
            <w:bookmarkEnd w:id="6"/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861CB" w:rsidRDefault="009626FB">
            <w:pPr>
              <w:pStyle w:val="afb"/>
              <w:ind w:left="0"/>
              <w:rPr>
                <w:rStyle w:val="afa"/>
                <w:b w:val="0"/>
                <w:i w:val="0"/>
                <w:sz w:val="22"/>
                <w:szCs w:val="22"/>
                <w:highlight w:val="white"/>
              </w:rPr>
            </w:pPr>
            <w:bookmarkStart w:id="7" w:name="пОбеспечениеАвансовый"/>
            <w:r>
              <w:rPr>
                <w:bCs/>
                <w:iCs/>
                <w:sz w:val="22"/>
                <w:szCs w:val="22"/>
                <w:highlight w:val="white"/>
              </w:rPr>
              <w:t>Размер, форма, срок</w:t>
            </w:r>
            <w:r>
              <w:rPr>
                <w:highlight w:val="white"/>
              </w:rPr>
              <w:t xml:space="preserve"> и </w:t>
            </w:r>
            <w:r>
              <w:rPr>
                <w:bCs/>
                <w:iCs/>
                <w:sz w:val="22"/>
                <w:szCs w:val="22"/>
                <w:highlight w:val="white"/>
              </w:rPr>
              <w:t>порядок предоставления обеспечения исполнения обязательств по договору</w:t>
            </w:r>
            <w:bookmarkEnd w:id="7"/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rPr>
                <w:sz w:val="22"/>
                <w:szCs w:val="22"/>
                <w:highlight w:val="white"/>
              </w:rPr>
            </w:pPr>
            <w:bookmarkStart w:id="8" w:name="пОбеспечениеАвансовый1"/>
            <w:r>
              <w:rPr>
                <w:bCs/>
                <w:iCs/>
                <w:sz w:val="22"/>
                <w:szCs w:val="22"/>
                <w:highlight w:val="white"/>
              </w:rPr>
              <w:t>В соответствии с условиями проекта договора</w:t>
            </w:r>
            <w:bookmarkEnd w:id="8"/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7861CB" w:rsidRDefault="009626FB">
            <w:pPr>
              <w:pStyle w:val="afb"/>
              <w:ind w:left="0"/>
              <w:rPr>
                <w:bCs/>
                <w:iCs/>
                <w:sz w:val="22"/>
                <w:szCs w:val="22"/>
                <w:highlight w:val="white"/>
              </w:rPr>
            </w:pPr>
            <w:r>
              <w:rPr>
                <w:bCs/>
                <w:iCs/>
                <w:sz w:val="22"/>
                <w:szCs w:val="22"/>
                <w:highlight w:val="white"/>
              </w:rPr>
              <w:t>Банковское сопровождение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rPr>
                <w:bCs/>
                <w:iCs/>
                <w:sz w:val="22"/>
                <w:szCs w:val="22"/>
                <w:highlight w:val="white"/>
              </w:rPr>
            </w:pPr>
            <w:r>
              <w:rPr>
                <w:bCs/>
                <w:iCs/>
                <w:sz w:val="22"/>
                <w:szCs w:val="22"/>
                <w:highlight w:val="white"/>
              </w:rPr>
              <w:t>Не применяется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rStyle w:val="afa"/>
                <w:b w:val="0"/>
                <w:i w:val="0"/>
                <w:sz w:val="22"/>
                <w:szCs w:val="22"/>
                <w:highlight w:val="white"/>
              </w:rPr>
            </w:pPr>
            <w:r>
              <w:rPr>
                <w:bCs/>
                <w:iCs/>
                <w:sz w:val="22"/>
                <w:szCs w:val="22"/>
                <w:highlight w:val="white"/>
              </w:rPr>
              <w:t>Дата начала срока подачи Заявок на участие в Конкурентном отборе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rPr>
                <w:rStyle w:val="afa"/>
                <w:b w:val="0"/>
                <w:i w:val="0"/>
                <w:sz w:val="22"/>
                <w:szCs w:val="22"/>
                <w:highlight w:val="white"/>
              </w:rPr>
            </w:pPr>
            <w:r>
              <w:rPr>
                <w:bCs/>
                <w:iCs/>
                <w:sz w:val="22"/>
                <w:szCs w:val="22"/>
                <w:highlight w:val="white"/>
              </w:rPr>
              <w:t xml:space="preserve">Является дата публикации Документации на электронной площадке </w:t>
            </w:r>
            <w:r>
              <w:rPr>
                <w:sz w:val="22"/>
                <w:szCs w:val="22"/>
                <w:highlight w:val="white"/>
              </w:rPr>
              <w:t>–</w:t>
            </w:r>
            <w:r>
              <w:rPr>
                <w:bCs/>
                <w:iCs/>
                <w:sz w:val="22"/>
                <w:szCs w:val="22"/>
                <w:highlight w:val="white"/>
              </w:rPr>
              <w:t xml:space="preserve"> 25 июня 2025 г.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Дата и время окончания подачи Заявок на участие в К</w:t>
            </w:r>
            <w:r>
              <w:rPr>
                <w:sz w:val="22"/>
                <w:szCs w:val="22"/>
                <w:highlight w:val="white"/>
              </w:rPr>
              <w:t>онкурентном отборе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03 июля 2025 г. до 10:00 ч. (по московскому времени)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Порядок подачи заявок на участие в Конкурентном отборе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Подача заявки осуществляется в электронном виде с учетом особенностей и правил проведения, установленным электронной площадкой,</w:t>
            </w:r>
            <w:r>
              <w:rPr>
                <w:sz w:val="22"/>
                <w:szCs w:val="22"/>
                <w:highlight w:val="white"/>
              </w:rPr>
              <w:t xml:space="preserve"> требования к составу заявки указаны в Документации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Дата начала и окончания направления запросов о разъяснении положений Документации от потенциальных Участников в адрес Организатора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Дата начала предоставления </w:t>
            </w:r>
            <w:r>
              <w:rPr>
                <w:sz w:val="22"/>
                <w:szCs w:val="22"/>
                <w:highlight w:val="white"/>
              </w:rPr>
              <w:t>разъяснений с момента публикации сведений о проведении Конкурентного отбора: 25 июня 2025 г.</w:t>
            </w:r>
          </w:p>
          <w:p w:rsidR="007861CB" w:rsidRDefault="009626FB">
            <w:pPr>
              <w:pStyle w:val="-31"/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Дата окончания предоставления запросов о разъяснении положений Документации: 30 июня 2025 г. 10:00 ч. (по московскому времени).</w:t>
            </w:r>
          </w:p>
          <w:p w:rsidR="007861CB" w:rsidRDefault="009626FB">
            <w:pPr>
              <w:pStyle w:val="-31"/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Участник направляет запрос при помо</w:t>
            </w:r>
            <w:r>
              <w:rPr>
                <w:sz w:val="22"/>
                <w:szCs w:val="22"/>
                <w:highlight w:val="white"/>
              </w:rPr>
              <w:t>щи функционала Электронной площадки с обязательным направлением такого запроса в адрес Организатора посредством электронной почты на адрес электронной почты, указанный в п.7 Извещения.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Открытие доступа к заявкам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03 июля 2025 г. в 10:00 ч. (по московскому</w:t>
            </w:r>
            <w:r>
              <w:rPr>
                <w:sz w:val="22"/>
                <w:szCs w:val="22"/>
                <w:highlight w:val="white"/>
              </w:rPr>
              <w:t xml:space="preserve"> времени) или в зависимости от работы и функционала площадки, открывается вся заявка кроме ценового </w:t>
            </w:r>
            <w:r>
              <w:rPr>
                <w:sz w:val="22"/>
                <w:szCs w:val="22"/>
                <w:highlight w:val="white"/>
              </w:rPr>
              <w:lastRenderedPageBreak/>
              <w:t>предложения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Дата открытия стадии формирования итогового протокола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03 июля 2025 г.</w:t>
            </w:r>
            <w:r>
              <w:rPr>
                <w:highlight w:val="white"/>
              </w:rPr>
              <w:t xml:space="preserve"> </w:t>
            </w:r>
          </w:p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Ценовое предложение</w:t>
            </w:r>
            <w:r>
              <w:rPr>
                <w:sz w:val="22"/>
                <w:szCs w:val="22"/>
                <w:highlight w:val="white"/>
              </w:rPr>
              <w:t xml:space="preserve"> открывается с момента открытия стадии формирования итогового протокола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Рассмотрение заявок, подведение итогов:</w:t>
            </w:r>
          </w:p>
          <w:p w:rsidR="007861CB" w:rsidRDefault="009626FB">
            <w:pPr>
              <w:pStyle w:val="afb"/>
              <w:ind w:left="0"/>
              <w:rPr>
                <w:b/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Дата и время (по московскому времени)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До 15 августа 2025 г. (включительно)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Возможность подачи нового ценового предложения</w:t>
            </w:r>
          </w:p>
        </w:tc>
        <w:tc>
          <w:tcPr>
            <w:tcW w:w="5245" w:type="dxa"/>
          </w:tcPr>
          <w:p w:rsidR="007861CB" w:rsidRDefault="009626FB">
            <w:pPr>
              <w:pStyle w:val="afb"/>
              <w:ind w:left="0" w:right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Подача нового цено</w:t>
            </w:r>
            <w:r>
              <w:rPr>
                <w:sz w:val="22"/>
                <w:szCs w:val="22"/>
                <w:highlight w:val="white"/>
              </w:rPr>
              <w:t>вого предложения возможна в случае указания об этом в автоматическом уведомлении при переносе даты подведения итогов закупки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bCs/>
                <w:iCs/>
                <w:sz w:val="22"/>
                <w:szCs w:val="22"/>
                <w:highlight w:val="white"/>
              </w:rPr>
              <w:t>Порядок, дата и время начала и окончания срока проведения этапа «Обсуждение функциональных характеристик товаров, качества работ, услуг, условий исполнения договора»</w:t>
            </w:r>
          </w:p>
        </w:tc>
        <w:tc>
          <w:tcPr>
            <w:tcW w:w="5245" w:type="dxa"/>
          </w:tcPr>
          <w:p w:rsidR="007861CB" w:rsidRDefault="009626FB">
            <w:pPr>
              <w:rPr>
                <w:rFonts w:ascii="Times New Roman" w:eastAsia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  <w:lang w:eastAsia="ru-RU"/>
              </w:rPr>
              <w:t>Этап не устанавливается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Возможность подачи Альтернативных предложений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Не предусмотрена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Возможность определить нескольких победителей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Не предусмотрена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Порядок подведения итогов Конкурентного отбора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Указан в Документации о проведении Конкурентного отбора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Условия определения нескольких победителей, заключения договоров с несколькими Участниками (победителями)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clear" w:pos="1134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Порядок определения нескольких победителей, заключения договоров с несколькими Участниками (победителями) указан в Документации о конкурентном отборе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3402" w:type="dxa"/>
          </w:tcPr>
          <w:p w:rsidR="007861CB" w:rsidRDefault="009626FB">
            <w:pPr>
              <w:pStyle w:val="afb"/>
              <w:ind w:left="0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Предоставление национального режима в соответствии с Постановлением Правительства Российской Федерации от 23 декабря 2024 г. N 1875</w:t>
            </w:r>
            <w:r>
              <w:rPr>
                <w:highlight w:val="white"/>
              </w:rPr>
              <w:t xml:space="preserve"> </w:t>
            </w:r>
            <w:r>
              <w:rPr>
                <w:sz w:val="22"/>
                <w:szCs w:val="22"/>
                <w:highlight w:val="white"/>
              </w:rPr>
              <w:t>при осуществлении закупок товаров, в том числе, поставляемых при выполнении закупаемых работ/услуг, для нужд хозяйственных</w:t>
            </w:r>
            <w:r>
              <w:rPr>
                <w:sz w:val="22"/>
                <w:szCs w:val="22"/>
                <w:highlight w:val="white"/>
              </w:rPr>
              <w:t xml:space="preserve"> обществ, указанных в пунктах 1 - 3 части 2 статьи 1 Федерального закона «О закупках товаров, работ, услуг отдельными видами юридических лиц»</w:t>
            </w:r>
          </w:p>
        </w:tc>
        <w:tc>
          <w:tcPr>
            <w:tcW w:w="5245" w:type="dxa"/>
          </w:tcPr>
          <w:p w:rsidR="007861CB" w:rsidRDefault="009626FB">
            <w:pPr>
              <w:pStyle w:val="-31"/>
              <w:tabs>
                <w:tab w:val="left" w:pos="708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</w:t>
            </w:r>
          </w:p>
          <w:p w:rsidR="007861CB" w:rsidRDefault="007861CB">
            <w:pPr>
              <w:pStyle w:val="-31"/>
              <w:tabs>
                <w:tab w:val="left" w:pos="708"/>
              </w:tabs>
              <w:spacing w:before="40" w:after="40" w:line="240" w:lineRule="auto"/>
              <w:rPr>
                <w:sz w:val="22"/>
                <w:szCs w:val="22"/>
                <w:highlight w:val="white"/>
              </w:rPr>
            </w:pP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8647" w:type="dxa"/>
            <w:gridSpan w:val="2"/>
          </w:tcPr>
          <w:p w:rsidR="007861CB" w:rsidRDefault="009626FB">
            <w:pPr>
              <w:pStyle w:val="afb"/>
              <w:ind w:left="34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Конкурентный отбор не является торгами (</w:t>
            </w:r>
            <w:r>
              <w:rPr>
                <w:sz w:val="22"/>
                <w:szCs w:val="22"/>
                <w:highlight w:val="white"/>
              </w:rPr>
              <w:t>конкурсом, аукционом, запросом предложений и запросом котировок) или публичным конкурсом в соответствии со статьями 447-449 части первой и статьями 1057-1061 части второй Гражданского кодекса Российской Федерации, и не накладывает на Организатора и Заказчи</w:t>
            </w:r>
            <w:r>
              <w:rPr>
                <w:sz w:val="22"/>
                <w:szCs w:val="22"/>
                <w:highlight w:val="white"/>
              </w:rPr>
              <w:t>ка обязательств, установленных указанными статьями Гражданского кодекса Российской Федерации.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8647" w:type="dxa"/>
            <w:gridSpan w:val="2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ind w:left="34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Организатор (Заказчик) вправе вносить изменения в Извещение о проведении Конкурентного отбора и Документацию о Конкурентном отборе в любое время до истечения срока подачи заявок на участие в конкурентном отборе.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8647" w:type="dxa"/>
            <w:gridSpan w:val="2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ind w:left="34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Организатор (Заказчик) имеет право продлит</w:t>
            </w:r>
            <w:r>
              <w:rPr>
                <w:sz w:val="22"/>
                <w:szCs w:val="22"/>
                <w:highlight w:val="white"/>
              </w:rPr>
              <w:t>ь срок подачи заявок на участие в Конкурентном отборе и соответственно перенести дату и время проведения процедуры вскрытия заявок в любое время до начала проведения процедуры открытия доступа к заявкам на участие в Конкурентном отборе, а также до подведен</w:t>
            </w:r>
            <w:r>
              <w:rPr>
                <w:sz w:val="22"/>
                <w:szCs w:val="22"/>
                <w:highlight w:val="white"/>
              </w:rPr>
              <w:t>ия итогов закупки изменить дату рассмотрения предложений участников закупки и подведения итогов Конкурентного отбора.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8647" w:type="dxa"/>
            <w:gridSpan w:val="2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ind w:left="34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Организатор (Заказчик) вправе отказаться от осуществления конкурентной закупки в электронной форме в любое время до истечения срока подачи Заявок.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8647" w:type="dxa"/>
            <w:gridSpan w:val="2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ind w:left="34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Оценка Заявок Участников осуществляется с применением методики оценки и представляет собой оценку в баллах,</w:t>
            </w:r>
            <w:r>
              <w:rPr>
                <w:sz w:val="22"/>
                <w:szCs w:val="22"/>
                <w:highlight w:val="white"/>
              </w:rPr>
              <w:t xml:space="preserve"> получаемую по результатам оценки с учетом значимости критерия.</w:t>
            </w:r>
          </w:p>
        </w:tc>
      </w:tr>
      <w:tr w:rsidR="007861CB">
        <w:tc>
          <w:tcPr>
            <w:tcW w:w="709" w:type="dxa"/>
          </w:tcPr>
          <w:p w:rsidR="007861CB" w:rsidRDefault="007861CB">
            <w:pPr>
              <w:pStyle w:val="3"/>
              <w:numPr>
                <w:ilvl w:val="0"/>
                <w:numId w:val="14"/>
              </w:numPr>
              <w:tabs>
                <w:tab w:val="left" w:pos="1701"/>
              </w:tabs>
              <w:spacing w:after="0"/>
              <w:ind w:left="0" w:firstLine="34"/>
              <w:jc w:val="both"/>
              <w:rPr>
                <w:sz w:val="22"/>
                <w:szCs w:val="22"/>
                <w:highlight w:val="white"/>
              </w:rPr>
            </w:pPr>
          </w:p>
        </w:tc>
        <w:tc>
          <w:tcPr>
            <w:tcW w:w="8647" w:type="dxa"/>
            <w:gridSpan w:val="2"/>
          </w:tcPr>
          <w:p w:rsidR="007861CB" w:rsidRDefault="009626FB">
            <w:pPr>
              <w:pStyle w:val="3"/>
              <w:numPr>
                <w:ilvl w:val="0"/>
                <w:numId w:val="0"/>
              </w:numPr>
              <w:tabs>
                <w:tab w:val="left" w:pos="1701"/>
              </w:tabs>
              <w:spacing w:before="40" w:after="40"/>
              <w:ind w:left="34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Антидемпинговые меры не применяются.</w:t>
            </w:r>
          </w:p>
        </w:tc>
      </w:tr>
    </w:tbl>
    <w:p w:rsidR="007861CB" w:rsidRDefault="007861CB">
      <w:pPr>
        <w:spacing w:after="0" w:line="240" w:lineRule="auto"/>
        <w:rPr>
          <w:rFonts w:ascii="Times New Roman" w:hAnsi="Times New Roman"/>
          <w:highlight w:val="white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0"/>
        <w:gridCol w:w="1620"/>
        <w:gridCol w:w="1701"/>
        <w:gridCol w:w="2255"/>
      </w:tblGrid>
      <w:tr w:rsidR="007861CB">
        <w:tc>
          <w:tcPr>
            <w:tcW w:w="3780" w:type="dxa"/>
            <w:vAlign w:val="center"/>
          </w:tcPr>
          <w:p w:rsidR="007861CB" w:rsidRDefault="009626FB">
            <w:pPr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Должностное (ответственное) лицо</w:t>
            </w:r>
          </w:p>
        </w:tc>
        <w:tc>
          <w:tcPr>
            <w:tcW w:w="1620" w:type="dxa"/>
            <w:vAlign w:val="center"/>
          </w:tcPr>
          <w:p w:rsidR="007861CB" w:rsidRDefault="009626FB">
            <w:pPr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Дата</w:t>
            </w:r>
          </w:p>
        </w:tc>
        <w:tc>
          <w:tcPr>
            <w:tcW w:w="1701" w:type="dxa"/>
            <w:vAlign w:val="center"/>
          </w:tcPr>
          <w:p w:rsidR="007861CB" w:rsidRDefault="009626FB">
            <w:pPr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Подпись</w:t>
            </w:r>
          </w:p>
        </w:tc>
        <w:tc>
          <w:tcPr>
            <w:tcW w:w="2255" w:type="dxa"/>
            <w:vAlign w:val="center"/>
          </w:tcPr>
          <w:p w:rsidR="007861CB" w:rsidRDefault="009626FB">
            <w:pPr>
              <w:spacing w:after="0"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ФИО</w:t>
            </w:r>
          </w:p>
        </w:tc>
      </w:tr>
      <w:tr w:rsidR="007861CB">
        <w:trPr>
          <w:trHeight w:val="475"/>
        </w:trPr>
        <w:tc>
          <w:tcPr>
            <w:tcW w:w="3780" w:type="dxa"/>
          </w:tcPr>
          <w:p w:rsidR="007861CB" w:rsidRDefault="009626FB">
            <w:pPr>
              <w:spacing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Специалист отдела проведения регламентированных процедур</w:t>
            </w:r>
          </w:p>
        </w:tc>
        <w:tc>
          <w:tcPr>
            <w:tcW w:w="1620" w:type="dxa"/>
          </w:tcPr>
          <w:p w:rsidR="007861CB" w:rsidRDefault="009626FB">
            <w:pPr>
              <w:spacing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  <w:lang w:eastAsia="ru-RU"/>
              </w:rPr>
              <w:t>25.06.2025</w:t>
            </w:r>
          </w:p>
        </w:tc>
        <w:tc>
          <w:tcPr>
            <w:tcW w:w="1701" w:type="dxa"/>
          </w:tcPr>
          <w:p w:rsidR="007861CB" w:rsidRDefault="007861CB">
            <w:pPr>
              <w:spacing w:line="240" w:lineRule="auto"/>
              <w:rPr>
                <w:rFonts w:ascii="Times New Roman" w:hAnsi="Times New Roman"/>
                <w:highlight w:val="white"/>
              </w:rPr>
            </w:pPr>
          </w:p>
        </w:tc>
        <w:tc>
          <w:tcPr>
            <w:tcW w:w="2255" w:type="dxa"/>
          </w:tcPr>
          <w:p w:rsidR="007861CB" w:rsidRDefault="009626FB">
            <w:pPr>
              <w:spacing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Беляев Алексей Викторович</w:t>
            </w:r>
          </w:p>
        </w:tc>
      </w:tr>
      <w:tr w:rsidR="007861CB">
        <w:trPr>
          <w:trHeight w:val="183"/>
        </w:trPr>
        <w:tc>
          <w:tcPr>
            <w:tcW w:w="3780" w:type="dxa"/>
          </w:tcPr>
          <w:p w:rsidR="007861CB" w:rsidRDefault="009626FB">
            <w:pPr>
              <w:spacing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Специалист отдела проведения регламентированных процедур</w:t>
            </w:r>
          </w:p>
        </w:tc>
        <w:tc>
          <w:tcPr>
            <w:tcW w:w="1620" w:type="dxa"/>
          </w:tcPr>
          <w:p w:rsidR="007861CB" w:rsidRDefault="009626FB">
            <w:pPr>
              <w:spacing w:line="240" w:lineRule="auto"/>
              <w:jc w:val="center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eastAsia="Times New Roman" w:hAnsi="Times New Roman"/>
                <w:highlight w:val="white"/>
                <w:lang w:eastAsia="ru-RU"/>
              </w:rPr>
              <w:t>25.06.2025</w:t>
            </w:r>
          </w:p>
        </w:tc>
        <w:tc>
          <w:tcPr>
            <w:tcW w:w="1701" w:type="dxa"/>
          </w:tcPr>
          <w:p w:rsidR="007861CB" w:rsidRDefault="007861CB">
            <w:pPr>
              <w:spacing w:line="240" w:lineRule="auto"/>
              <w:rPr>
                <w:rFonts w:ascii="Times New Roman" w:hAnsi="Times New Roman"/>
                <w:highlight w:val="white"/>
              </w:rPr>
            </w:pPr>
          </w:p>
        </w:tc>
        <w:tc>
          <w:tcPr>
            <w:tcW w:w="2255" w:type="dxa"/>
          </w:tcPr>
          <w:p w:rsidR="007861CB" w:rsidRDefault="009626FB">
            <w:pPr>
              <w:spacing w:line="240" w:lineRule="auto"/>
              <w:rPr>
                <w:rFonts w:ascii="Times New Roman" w:hAnsi="Times New Roman"/>
                <w:highlight w:val="white"/>
              </w:rPr>
            </w:pPr>
            <w:r>
              <w:rPr>
                <w:rFonts w:ascii="Times New Roman" w:hAnsi="Times New Roman"/>
                <w:highlight w:val="white"/>
              </w:rPr>
              <w:t>Сулейманов Руслан Ильдарович</w:t>
            </w:r>
          </w:p>
        </w:tc>
      </w:tr>
    </w:tbl>
    <w:p w:rsidR="007861CB" w:rsidRDefault="007861CB">
      <w:pPr>
        <w:rPr>
          <w:highlight w:val="white"/>
        </w:rPr>
      </w:pPr>
    </w:p>
    <w:sectPr w:rsidR="007861CB">
      <w:headerReference w:type="default" r:id="rId11"/>
      <w:pgSz w:w="11906" w:h="16838"/>
      <w:pgMar w:top="851" w:right="850" w:bottom="1134" w:left="1701" w:header="426" w:footer="5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1CB" w:rsidRDefault="009626FB">
      <w:pPr>
        <w:spacing w:after="0" w:line="240" w:lineRule="auto"/>
      </w:pPr>
      <w:r>
        <w:separator/>
      </w:r>
    </w:p>
  </w:endnote>
  <w:endnote w:type="continuationSeparator" w:id="0">
    <w:p w:rsidR="007861CB" w:rsidRDefault="00962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1CB" w:rsidRDefault="009626FB">
      <w:pPr>
        <w:spacing w:after="0" w:line="240" w:lineRule="auto"/>
      </w:pPr>
      <w:r>
        <w:separator/>
      </w:r>
    </w:p>
  </w:footnote>
  <w:footnote w:type="continuationSeparator" w:id="0">
    <w:p w:rsidR="007861CB" w:rsidRDefault="00962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1CB" w:rsidRDefault="007861C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4482"/>
    <w:multiLevelType w:val="hybridMultilevel"/>
    <w:tmpl w:val="FEB89300"/>
    <w:lvl w:ilvl="0" w:tplc="CA802410">
      <w:start w:val="1"/>
      <w:numFmt w:val="decimal"/>
      <w:lvlText w:val="%1."/>
      <w:lvlJc w:val="left"/>
      <w:pPr>
        <w:tabs>
          <w:tab w:val="num" w:pos="1668"/>
        </w:tabs>
        <w:ind w:left="1668" w:hanging="960"/>
      </w:pPr>
    </w:lvl>
    <w:lvl w:ilvl="1" w:tplc="E990FE06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B1B4C034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1708E884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9514A3C6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56B498C0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6DFA7D18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78608BA0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12E8A2D2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9F90E2C"/>
    <w:multiLevelType w:val="multilevel"/>
    <w:tmpl w:val="0E6A6C6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i w:val="0"/>
        <w:iCs w:val="0"/>
        <w:caps w:val="0"/>
        <w:strike w:val="0"/>
        <w:vanish w:val="0"/>
        <w:color w:val="000000"/>
        <w:spacing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cs="Arial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b w:val="0"/>
        <w:bCs w:val="0"/>
        <w:i w:val="0"/>
        <w:iCs w:val="0"/>
      </w:rPr>
    </w:lvl>
    <w:lvl w:ilvl="5">
      <w:start w:val="1"/>
      <w:numFmt w:val="thaiNumbers"/>
      <w:lvlText w:val="%6)"/>
      <w:lvlJc w:val="left"/>
      <w:pPr>
        <w:tabs>
          <w:tab w:val="num" w:pos="1701"/>
        </w:tabs>
        <w:ind w:left="1701" w:hanging="567"/>
      </w:p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6525"/>
        </w:tabs>
        <w:ind w:left="4869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245"/>
        </w:tabs>
        <w:ind w:left="5445" w:hanging="1440"/>
      </w:pPr>
    </w:lvl>
  </w:abstractNum>
  <w:abstractNum w:abstractNumId="2" w15:restartNumberingAfterBreak="0">
    <w:nsid w:val="2A552EDD"/>
    <w:multiLevelType w:val="multilevel"/>
    <w:tmpl w:val="13389D0C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004" w:hanging="720"/>
      </w:pPr>
    </w:lvl>
    <w:lvl w:ilvl="3">
      <w:start w:val="1"/>
      <w:numFmt w:val="decimal"/>
      <w:lvlText w:val="%1.%2.%3.%4."/>
      <w:lvlJc w:val="left"/>
      <w:pPr>
        <w:ind w:left="1364" w:hanging="1080"/>
      </w:pPr>
    </w:lvl>
    <w:lvl w:ilvl="4">
      <w:start w:val="1"/>
      <w:numFmt w:val="decimal"/>
      <w:lvlText w:val="%1.%2.%3.%4.%5."/>
      <w:lvlJc w:val="left"/>
      <w:pPr>
        <w:ind w:left="1364" w:hanging="1080"/>
      </w:pPr>
    </w:lvl>
    <w:lvl w:ilvl="5">
      <w:start w:val="1"/>
      <w:numFmt w:val="decimal"/>
      <w:lvlText w:val="%1.%2.%3.%4.%5.%6."/>
      <w:lvlJc w:val="left"/>
      <w:pPr>
        <w:ind w:left="1724" w:hanging="1440"/>
      </w:pPr>
    </w:lvl>
    <w:lvl w:ilvl="6">
      <w:start w:val="1"/>
      <w:numFmt w:val="decimal"/>
      <w:lvlText w:val="%1.%2.%3.%4.%5.%6.%7."/>
      <w:lvlJc w:val="left"/>
      <w:pPr>
        <w:ind w:left="2084" w:hanging="1800"/>
      </w:pPr>
    </w:lvl>
    <w:lvl w:ilvl="7">
      <w:start w:val="1"/>
      <w:numFmt w:val="decimal"/>
      <w:lvlText w:val="%1.%2.%3.%4.%5.%6.%7.%8."/>
      <w:lvlJc w:val="left"/>
      <w:pPr>
        <w:ind w:left="2084" w:hanging="1800"/>
      </w:pPr>
    </w:lvl>
    <w:lvl w:ilvl="8">
      <w:start w:val="1"/>
      <w:numFmt w:val="decimal"/>
      <w:lvlText w:val="%1.%2.%3.%4.%5.%6.%7.%8.%9."/>
      <w:lvlJc w:val="left"/>
      <w:pPr>
        <w:ind w:left="2444" w:hanging="2160"/>
      </w:pPr>
    </w:lvl>
  </w:abstractNum>
  <w:abstractNum w:abstractNumId="3" w15:restartNumberingAfterBreak="0">
    <w:nsid w:val="420D24E9"/>
    <w:multiLevelType w:val="hybridMultilevel"/>
    <w:tmpl w:val="4D74AA5C"/>
    <w:lvl w:ilvl="0" w:tplc="219A771C">
      <w:start w:val="1"/>
      <w:numFmt w:val="decimal"/>
      <w:lvlText w:val="%1."/>
      <w:lvlJc w:val="left"/>
      <w:pPr>
        <w:ind w:left="720" w:hanging="360"/>
      </w:pPr>
    </w:lvl>
    <w:lvl w:ilvl="1" w:tplc="F8E62E40">
      <w:start w:val="1"/>
      <w:numFmt w:val="lowerLetter"/>
      <w:lvlText w:val="%2."/>
      <w:lvlJc w:val="left"/>
      <w:pPr>
        <w:ind w:left="1440" w:hanging="360"/>
      </w:pPr>
    </w:lvl>
    <w:lvl w:ilvl="2" w:tplc="CE3EA76A">
      <w:start w:val="1"/>
      <w:numFmt w:val="lowerRoman"/>
      <w:lvlText w:val="%3."/>
      <w:lvlJc w:val="right"/>
      <w:pPr>
        <w:ind w:left="2160" w:hanging="180"/>
      </w:pPr>
    </w:lvl>
    <w:lvl w:ilvl="3" w:tplc="F5CC5676">
      <w:start w:val="1"/>
      <w:numFmt w:val="decimal"/>
      <w:lvlText w:val="%4."/>
      <w:lvlJc w:val="left"/>
      <w:pPr>
        <w:ind w:left="2880" w:hanging="360"/>
      </w:pPr>
    </w:lvl>
    <w:lvl w:ilvl="4" w:tplc="542CA940">
      <w:start w:val="1"/>
      <w:numFmt w:val="lowerLetter"/>
      <w:lvlText w:val="%5."/>
      <w:lvlJc w:val="left"/>
      <w:pPr>
        <w:ind w:left="3600" w:hanging="360"/>
      </w:pPr>
    </w:lvl>
    <w:lvl w:ilvl="5" w:tplc="724A2010">
      <w:start w:val="1"/>
      <w:numFmt w:val="lowerRoman"/>
      <w:lvlText w:val="%6."/>
      <w:lvlJc w:val="right"/>
      <w:pPr>
        <w:ind w:left="4320" w:hanging="180"/>
      </w:pPr>
    </w:lvl>
    <w:lvl w:ilvl="6" w:tplc="850CAFF2">
      <w:start w:val="1"/>
      <w:numFmt w:val="decimal"/>
      <w:lvlText w:val="%7."/>
      <w:lvlJc w:val="left"/>
      <w:pPr>
        <w:ind w:left="5040" w:hanging="360"/>
      </w:pPr>
    </w:lvl>
    <w:lvl w:ilvl="7" w:tplc="7F5455EE">
      <w:start w:val="1"/>
      <w:numFmt w:val="lowerLetter"/>
      <w:lvlText w:val="%8."/>
      <w:lvlJc w:val="left"/>
      <w:pPr>
        <w:ind w:left="5760" w:hanging="360"/>
      </w:pPr>
    </w:lvl>
    <w:lvl w:ilvl="8" w:tplc="251E7B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701FC"/>
    <w:multiLevelType w:val="hybridMultilevel"/>
    <w:tmpl w:val="C0368156"/>
    <w:lvl w:ilvl="0" w:tplc="5510CEC8">
      <w:start w:val="1"/>
      <w:numFmt w:val="decimal"/>
      <w:lvlText w:val="%1)"/>
      <w:lvlJc w:val="left"/>
      <w:pPr>
        <w:ind w:left="360" w:hanging="360"/>
      </w:pPr>
    </w:lvl>
    <w:lvl w:ilvl="1" w:tplc="7BF83D50">
      <w:start w:val="1"/>
      <w:numFmt w:val="lowerLetter"/>
      <w:lvlText w:val="%2."/>
      <w:lvlJc w:val="left"/>
      <w:pPr>
        <w:ind w:left="1080" w:hanging="360"/>
      </w:pPr>
    </w:lvl>
    <w:lvl w:ilvl="2" w:tplc="B18845B6">
      <w:start w:val="1"/>
      <w:numFmt w:val="lowerRoman"/>
      <w:lvlText w:val="%3."/>
      <w:lvlJc w:val="right"/>
      <w:pPr>
        <w:ind w:left="1800" w:hanging="180"/>
      </w:pPr>
    </w:lvl>
    <w:lvl w:ilvl="3" w:tplc="C4DCCD9A">
      <w:start w:val="1"/>
      <w:numFmt w:val="decimal"/>
      <w:lvlText w:val="%4."/>
      <w:lvlJc w:val="left"/>
      <w:pPr>
        <w:ind w:left="2520" w:hanging="360"/>
      </w:pPr>
    </w:lvl>
    <w:lvl w:ilvl="4" w:tplc="41F237D4">
      <w:start w:val="1"/>
      <w:numFmt w:val="lowerLetter"/>
      <w:lvlText w:val="%5."/>
      <w:lvlJc w:val="left"/>
      <w:pPr>
        <w:ind w:left="3240" w:hanging="360"/>
      </w:pPr>
    </w:lvl>
    <w:lvl w:ilvl="5" w:tplc="0BD0792A">
      <w:start w:val="1"/>
      <w:numFmt w:val="lowerRoman"/>
      <w:lvlText w:val="%6."/>
      <w:lvlJc w:val="right"/>
      <w:pPr>
        <w:ind w:left="3960" w:hanging="180"/>
      </w:pPr>
    </w:lvl>
    <w:lvl w:ilvl="6" w:tplc="E75428CA">
      <w:start w:val="1"/>
      <w:numFmt w:val="decimal"/>
      <w:lvlText w:val="%7."/>
      <w:lvlJc w:val="left"/>
      <w:pPr>
        <w:ind w:left="4680" w:hanging="360"/>
      </w:pPr>
    </w:lvl>
    <w:lvl w:ilvl="7" w:tplc="2410FB9C">
      <w:start w:val="1"/>
      <w:numFmt w:val="lowerLetter"/>
      <w:lvlText w:val="%8."/>
      <w:lvlJc w:val="left"/>
      <w:pPr>
        <w:ind w:left="5400" w:hanging="360"/>
      </w:pPr>
    </w:lvl>
    <w:lvl w:ilvl="8" w:tplc="39943C7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F866CD"/>
    <w:multiLevelType w:val="multilevel"/>
    <w:tmpl w:val="70EECB26"/>
    <w:lvl w:ilvl="0">
      <w:start w:val="1"/>
      <w:numFmt w:val="decimal"/>
      <w:pStyle w:val="1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1021"/>
        </w:tabs>
        <w:ind w:firstLine="720"/>
      </w:pPr>
      <w:rPr>
        <w:rFonts w:ascii="Times New Roman" w:hAnsi="Times New Roman" w:cs="Times New Roman"/>
        <w:b w:val="0"/>
        <w:i w:val="0"/>
        <w:sz w:val="28"/>
        <w:szCs w:val="28"/>
      </w:rPr>
    </w:lvl>
    <w:lvl w:ilvl="2">
      <w:start w:val="1"/>
      <w:numFmt w:val="decimal"/>
      <w:pStyle w:val="20"/>
      <w:lvlText w:val="%1.%2.%3."/>
      <w:lvlJc w:val="left"/>
      <w:pPr>
        <w:tabs>
          <w:tab w:val="num" w:pos="568"/>
        </w:tabs>
        <w:ind w:left="-141" w:firstLine="709"/>
      </w:pPr>
      <w:rPr>
        <w:rFonts w:ascii="Times New Roman" w:hAnsi="Times New Roman" w:cs="Times New Roman"/>
        <w:b w:val="0"/>
        <w:i w:val="0"/>
        <w:sz w:val="28"/>
      </w:rPr>
    </w:lvl>
    <w:lvl w:ilvl="3">
      <w:start w:val="1"/>
      <w:numFmt w:val="decimal"/>
      <w:pStyle w:val="3"/>
      <w:lvlText w:val="%1.%2.%3.%4."/>
      <w:lvlJc w:val="left"/>
      <w:pPr>
        <w:tabs>
          <w:tab w:val="num" w:pos="1432"/>
        </w:tabs>
        <w:ind w:left="1432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6" w15:restartNumberingAfterBreak="0">
    <w:nsid w:val="772A54C7"/>
    <w:multiLevelType w:val="hybridMultilevel"/>
    <w:tmpl w:val="6022943E"/>
    <w:lvl w:ilvl="0" w:tplc="7F68227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3A643D6">
      <w:start w:val="1"/>
      <w:numFmt w:val="lowerLetter"/>
      <w:lvlText w:val="%2."/>
      <w:lvlJc w:val="left"/>
      <w:pPr>
        <w:ind w:left="1440" w:hanging="360"/>
      </w:pPr>
    </w:lvl>
    <w:lvl w:ilvl="2" w:tplc="BF886770">
      <w:start w:val="1"/>
      <w:numFmt w:val="lowerRoman"/>
      <w:lvlText w:val="%3."/>
      <w:lvlJc w:val="right"/>
      <w:pPr>
        <w:ind w:left="2160" w:hanging="180"/>
      </w:pPr>
    </w:lvl>
    <w:lvl w:ilvl="3" w:tplc="9E8E39D8">
      <w:start w:val="1"/>
      <w:numFmt w:val="decimal"/>
      <w:lvlText w:val="%4."/>
      <w:lvlJc w:val="left"/>
      <w:pPr>
        <w:ind w:left="2880" w:hanging="360"/>
      </w:pPr>
    </w:lvl>
    <w:lvl w:ilvl="4" w:tplc="A3E2AF4C">
      <w:start w:val="1"/>
      <w:numFmt w:val="lowerLetter"/>
      <w:lvlText w:val="%5."/>
      <w:lvlJc w:val="left"/>
      <w:pPr>
        <w:ind w:left="3600" w:hanging="360"/>
      </w:pPr>
    </w:lvl>
    <w:lvl w:ilvl="5" w:tplc="9E4434DC">
      <w:start w:val="1"/>
      <w:numFmt w:val="lowerRoman"/>
      <w:lvlText w:val="%6."/>
      <w:lvlJc w:val="right"/>
      <w:pPr>
        <w:ind w:left="4320" w:hanging="180"/>
      </w:pPr>
    </w:lvl>
    <w:lvl w:ilvl="6" w:tplc="296EE7F6">
      <w:start w:val="1"/>
      <w:numFmt w:val="decimal"/>
      <w:lvlText w:val="%7."/>
      <w:lvlJc w:val="left"/>
      <w:pPr>
        <w:ind w:left="5040" w:hanging="360"/>
      </w:pPr>
    </w:lvl>
    <w:lvl w:ilvl="7" w:tplc="8B50FFDE">
      <w:start w:val="1"/>
      <w:numFmt w:val="lowerLetter"/>
      <w:lvlText w:val="%8."/>
      <w:lvlJc w:val="left"/>
      <w:pPr>
        <w:ind w:left="5760" w:hanging="360"/>
      </w:pPr>
    </w:lvl>
    <w:lvl w:ilvl="8" w:tplc="908849C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6"/>
  </w:num>
  <w:num w:numId="10">
    <w:abstractNumId w:val="5"/>
  </w:num>
  <w:num w:numId="11">
    <w:abstractNumId w:val="5"/>
  </w:num>
  <w:num w:numId="12">
    <w:abstractNumId w:val="5"/>
  </w:num>
  <w:num w:numId="13">
    <w:abstractNumId w:val="4"/>
  </w:num>
  <w:num w:numId="14">
    <w:abstractNumId w:val="2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3"/>
  </w:num>
  <w:num w:numId="40">
    <w:abstractNumId w:val="5"/>
  </w:num>
  <w:num w:numId="41">
    <w:abstractNumId w:val="0"/>
  </w:num>
  <w:num w:numId="42">
    <w:abstractNumId w:val="1"/>
  </w:num>
  <w:num w:numId="43">
    <w:abstractNumId w:val="5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CB"/>
    <w:rsid w:val="007861CB"/>
    <w:rsid w:val="0096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9FFACB-1275-4A6B-B249-23A5D21D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1"/>
    <w:qFormat/>
    <w:pPr>
      <w:keepNext/>
      <w:widowControl w:val="0"/>
      <w:numPr>
        <w:ilvl w:val="1"/>
        <w:numId w:val="1"/>
      </w:numPr>
      <w:spacing w:after="0" w:line="240" w:lineRule="auto"/>
      <w:outlineLvl w:val="1"/>
    </w:pPr>
    <w:rPr>
      <w:rFonts w:ascii="Times New Roman" w:eastAsia="Times New Roman" w:hAnsi="Times New Roman"/>
      <w:sz w:val="28"/>
      <w:szCs w:val="28"/>
      <w:lang w:val="en-US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uiPriority w:val="5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  <w:lang w:val="en-US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pPr>
      <w:tabs>
        <w:tab w:val="left" w:pos="1080"/>
        <w:tab w:val="right" w:leader="dot" w:pos="9356"/>
      </w:tabs>
      <w:spacing w:after="60" w:line="240" w:lineRule="auto"/>
      <w:ind w:left="1078" w:right="845" w:hanging="539"/>
    </w:pPr>
    <w:rPr>
      <w:rFonts w:ascii="Times New Roman" w:eastAsia="Times New Roman" w:hAnsi="Times New Roman"/>
      <w:bCs/>
      <w:sz w:val="24"/>
      <w:szCs w:val="24"/>
      <w:lang w:val="sr-Cyrl-CS" w:eastAsia="ru-RU"/>
    </w:r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11">
    <w:name w:val="Заголовок 1;Заголовок 1_стандарта"/>
    <w:basedOn w:val="a"/>
    <w:next w:val="a"/>
    <w:link w:val="110"/>
    <w:qFormat/>
    <w:pPr>
      <w:keepNext/>
      <w:widowControl w:val="0"/>
      <w:numPr>
        <w:numId w:val="1"/>
      </w:numPr>
      <w:shd w:val="clear" w:color="auto" w:fill="FFFFFF"/>
      <w:spacing w:before="744" w:after="0" w:line="370" w:lineRule="exact"/>
      <w:jc w:val="right"/>
      <w:outlineLvl w:val="0"/>
    </w:pPr>
    <w:rPr>
      <w:rFonts w:ascii="Times New Roman" w:eastAsia="Times New Roman" w:hAnsi="Times New Roman"/>
      <w:b/>
      <w:bCs/>
      <w:color w:val="000000"/>
      <w:spacing w:val="-3"/>
      <w:sz w:val="32"/>
      <w:szCs w:val="32"/>
      <w:lang w:val="en-US"/>
    </w:rPr>
  </w:style>
  <w:style w:type="character" w:customStyle="1" w:styleId="110">
    <w:name w:val="Заголовок 1 Знак;Заголовок 1_стандарта Знак"/>
    <w:link w:val="11"/>
    <w:rPr>
      <w:rFonts w:ascii="Times New Roman" w:eastAsia="Times New Roman" w:hAnsi="Times New Roman"/>
      <w:b/>
      <w:bCs/>
      <w:color w:val="000000"/>
      <w:spacing w:val="-3"/>
      <w:sz w:val="32"/>
      <w:szCs w:val="32"/>
      <w:shd w:val="clear" w:color="auto" w:fill="FFFFFF"/>
    </w:rPr>
  </w:style>
  <w:style w:type="character" w:customStyle="1" w:styleId="21">
    <w:name w:val="Заголовок 2 Знак"/>
    <w:link w:val="2"/>
    <w:rPr>
      <w:rFonts w:ascii="Times New Roman" w:eastAsia="Times New Roman" w:hAnsi="Times New Roman"/>
      <w:sz w:val="28"/>
      <w:szCs w:val="28"/>
    </w:rPr>
  </w:style>
  <w:style w:type="paragraph" w:styleId="20">
    <w:name w:val="List Continue 2"/>
    <w:basedOn w:val="a"/>
    <w:pPr>
      <w:numPr>
        <w:ilvl w:val="2"/>
        <w:numId w:val="1"/>
      </w:num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">
    <w:name w:val="List Continue 3"/>
    <w:basedOn w:val="a"/>
    <w:pPr>
      <w:numPr>
        <w:ilvl w:val="3"/>
        <w:numId w:val="1"/>
      </w:num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a">
    <w:name w:val="комментарий"/>
    <w:rPr>
      <w:b/>
      <w:bCs/>
      <w:i/>
      <w:iCs/>
      <w:shd w:val="clear" w:color="auto" w:fill="FFFF99"/>
    </w:rPr>
  </w:style>
  <w:style w:type="paragraph" w:customStyle="1" w:styleId="afb">
    <w:name w:val="Текст таблицы"/>
    <w:basedOn w:val="a"/>
    <w:semiHidden/>
    <w:pPr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Pr>
      <w:sz w:val="20"/>
      <w:szCs w:val="20"/>
      <w:lang w:val="en-US"/>
    </w:rPr>
  </w:style>
  <w:style w:type="character" w:customStyle="1" w:styleId="afe">
    <w:name w:val="Текст примечания Знак"/>
    <w:link w:val="afd"/>
    <w:uiPriority w:val="99"/>
    <w:semiHidden/>
    <w:rPr>
      <w:lang w:eastAsia="en-US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link w:val="aff"/>
    <w:uiPriority w:val="99"/>
    <w:semiHidden/>
    <w:rPr>
      <w:b/>
      <w:bCs/>
      <w:lang w:eastAsia="en-US"/>
    </w:rPr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2">
    <w:name w:val="Текст выноски Знак"/>
    <w:link w:val="aff1"/>
    <w:uiPriority w:val="99"/>
    <w:semiHidden/>
    <w:rPr>
      <w:rFonts w:ascii="Tahoma" w:hAnsi="Tahoma" w:cs="Tahoma"/>
      <w:sz w:val="16"/>
      <w:szCs w:val="16"/>
      <w:lang w:eastAsia="en-US"/>
    </w:rPr>
  </w:style>
  <w:style w:type="character" w:customStyle="1" w:styleId="af3">
    <w:name w:val="Текст сноски Знак"/>
    <w:link w:val="af2"/>
    <w:uiPriority w:val="99"/>
    <w:semiHidden/>
    <w:rPr>
      <w:lang w:eastAsia="en-US"/>
    </w:rPr>
  </w:style>
  <w:style w:type="paragraph" w:customStyle="1" w:styleId="ConsPlusCell">
    <w:name w:val="ConsPlusCell"/>
    <w:uiPriority w:val="99"/>
    <w:pPr>
      <w:widowControl w:val="0"/>
    </w:pPr>
    <w:rPr>
      <w:rFonts w:ascii="Arial" w:eastAsia="Times New Roman" w:hAnsi="Arial" w:cs="Arial"/>
      <w:lang w:eastAsia="ru-RU"/>
    </w:rPr>
  </w:style>
  <w:style w:type="character" w:customStyle="1" w:styleId="ac">
    <w:name w:val="Верхний колонтитул Знак"/>
    <w:link w:val="ab"/>
    <w:uiPriority w:val="99"/>
    <w:rPr>
      <w:sz w:val="22"/>
      <w:szCs w:val="22"/>
      <w:lang w:eastAsia="en-US"/>
    </w:rPr>
  </w:style>
  <w:style w:type="character" w:customStyle="1" w:styleId="ae">
    <w:name w:val="Нижний колонтитул Знак"/>
    <w:link w:val="ad"/>
    <w:uiPriority w:val="99"/>
    <w:rPr>
      <w:sz w:val="22"/>
      <w:szCs w:val="22"/>
      <w:lang w:eastAsia="en-US"/>
    </w:rPr>
  </w:style>
  <w:style w:type="paragraph" w:customStyle="1" w:styleId="aff3">
    <w:name w:val="Пункт б/н"/>
    <w:basedOn w:val="a"/>
    <w:pPr>
      <w:tabs>
        <w:tab w:val="left" w:pos="1134"/>
      </w:tabs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paragraphjustify">
    <w:name w:val="paragraph_justify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4">
    <w:name w:val="Body Text Indent"/>
    <w:basedOn w:val="a"/>
    <w:link w:val="aff5"/>
    <w:pPr>
      <w:spacing w:after="0" w:line="240" w:lineRule="auto"/>
      <w:ind w:left="540" w:hanging="54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5">
    <w:name w:val="Основной текст с отступом Знак"/>
    <w:link w:val="aff4"/>
    <w:rPr>
      <w:rFonts w:ascii="Times New Roman" w:eastAsia="Times New Roman" w:hAnsi="Times New Roman"/>
      <w:sz w:val="24"/>
      <w:szCs w:val="24"/>
    </w:rPr>
  </w:style>
  <w:style w:type="paragraph" w:customStyle="1" w:styleId="-31">
    <w:name w:val="Пункт-3"/>
    <w:basedOn w:val="a"/>
    <w:pPr>
      <w:tabs>
        <w:tab w:val="num" w:pos="1134"/>
      </w:tabs>
      <w:spacing w:after="0" w:line="288" w:lineRule="auto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-41">
    <w:name w:val="Пункт-4"/>
    <w:basedOn w:val="a"/>
    <w:link w:val="-410"/>
    <w:pPr>
      <w:tabs>
        <w:tab w:val="num" w:pos="1134"/>
      </w:tabs>
      <w:spacing w:after="0" w:line="288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61">
    <w:name w:val="Пункт-6"/>
    <w:basedOn w:val="a"/>
    <w:pPr>
      <w:tabs>
        <w:tab w:val="num" w:pos="1701"/>
      </w:tabs>
      <w:spacing w:after="0" w:line="288" w:lineRule="auto"/>
      <w:ind w:left="1701" w:hanging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51">
    <w:name w:val="Пункт-5"/>
    <w:basedOn w:val="a"/>
    <w:pPr>
      <w:tabs>
        <w:tab w:val="num" w:pos="1134"/>
      </w:tabs>
      <w:spacing w:after="0" w:line="288" w:lineRule="auto"/>
      <w:ind w:left="1134" w:hanging="1134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-71">
    <w:name w:val="Пункт-7"/>
    <w:basedOn w:val="a"/>
    <w:pPr>
      <w:tabs>
        <w:tab w:val="num" w:pos="2268"/>
      </w:tabs>
      <w:spacing w:after="0" w:line="288" w:lineRule="auto"/>
      <w:ind w:left="2268" w:hanging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-410">
    <w:name w:val="Пункт-4 Знак1"/>
    <w:link w:val="-41"/>
    <w:rPr>
      <w:sz w:val="28"/>
      <w:lang w:val="ru-RU" w:eastAsia="ru-RU" w:bidi="ar-SA"/>
    </w:rPr>
  </w:style>
  <w:style w:type="paragraph" w:customStyle="1" w:styleId="-32">
    <w:name w:val="Пункт-3 подзаголовок"/>
    <w:basedOn w:val="a"/>
    <w:pPr>
      <w:keepNext/>
      <w:tabs>
        <w:tab w:val="num" w:pos="568"/>
      </w:tabs>
      <w:spacing w:before="360" w:after="120" w:line="288" w:lineRule="auto"/>
      <w:ind w:left="-141" w:firstLine="709"/>
      <w:jc w:val="both"/>
      <w:outlineLvl w:val="2"/>
    </w:pPr>
    <w:rPr>
      <w:rFonts w:ascii="Times New Roman" w:eastAsia="Times New Roman" w:hAnsi="Times New Roman"/>
      <w:b/>
      <w:sz w:val="28"/>
      <w:szCs w:val="28"/>
      <w:lang w:eastAsia="ru-RU"/>
    </w:rPr>
  </w:style>
  <w:style w:type="character" w:styleId="aff6">
    <w:name w:val="FollowedHyperlink"/>
    <w:uiPriority w:val="99"/>
    <w:semiHidden/>
    <w:unhideWhenUsed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eh-zakupki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pptk-mos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geh-zakupki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office@ogk2.ru;%20" TargetMode="Externa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1292</Words>
  <Characters>7369</Characters>
  <Application>Microsoft Office Word</Application>
  <DocSecurity>0</DocSecurity>
  <Lines>61</Lines>
  <Paragraphs>17</Paragraphs>
  <ScaleCrop>false</ScaleCrop>
  <Company>####</Company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проведении запроса предложений</dc:title>
  <dc:creator>Дмитрий Матюнин</dc:creator>
  <cp:lastModifiedBy>Сулейманов Руслан Ильдарович</cp:lastModifiedBy>
  <cp:revision>4</cp:revision>
  <dcterms:created xsi:type="dcterms:W3CDTF">2025-06-25T07:43:00Z</dcterms:created>
  <dcterms:modified xsi:type="dcterms:W3CDTF">2025-06-25T07:48:00Z</dcterms:modified>
  <cp:version>1048576</cp:version>
</cp:coreProperties>
</file>