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30</w:t>
            </w:r>
          </w:p>
        </w:tc>
      </w:tr>
      <w:tr>
        <w:tc>
          <w:tcPr/>
          <w:p>
            <w:pPr>
              <w:pStyle w:val="Compact"/>
            </w:pPr>
            <w:r>
              <w:t xml:space="preserve">Task</w:t>
            </w:r>
          </w:p>
        </w:tc>
        <w:tc>
          <w:tcPr/>
          <w:p>
            <w:pPr>
              <w:pStyle w:val="Compact"/>
            </w:pPr>
            <w:r>
              <w:t xml:space="preserve">Operator-blocked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8</w:t>
            </w:r>
          </w:p>
        </w:tc>
      </w:tr>
      <w:tr>
        <w:tc>
          <w:tcPr/>
          <w:p>
            <w:pPr>
              <w:pStyle w:val="Compact"/>
            </w:pPr>
            <w:r>
              <w:rPr>
                <w:b/>
                <w:bCs/>
              </w:rPr>
              <w:t xml:space="preserve">TOTAL</w:t>
            </w:r>
          </w:p>
        </w:tc>
        <w:tc>
          <w:tcPr/>
          <w:p>
            <w:pPr>
              <w:pStyle w:val="Compact"/>
            </w:pPr>
          </w:p>
        </w:tc>
        <w:tc>
          <w:tcPr/>
          <w:p>
            <w:pPr>
              <w:pStyle w:val="Compact"/>
            </w:pPr>
            <w:r>
              <w:rPr>
                <w:b/>
                <w:bCs/>
              </w:rPr>
              <w:t xml:space="preserve">39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HXC-159</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r>
              <w:t xml:space="preserve"> </w:t>
            </w:r>
            <w:r>
              <w:rPr>
                <w:b/>
                <w:bCs/>
              </w:rPr>
              <w:t xml:space="preserve">What (the report, verbatim):</w:t>
            </w:r>
            <w:r>
              <w:t xml:space="preserve"> </w:t>
            </w:r>
            <w:r>
              <w:t xml:space="preserve">Feature description (verbatim): Fully incorporate the HelixSkills System (git@github.com:HelixDevelopment/skills.git) into BOTH HelixCode and HelixAgent, covering ALL of its power-features with nothing left out. 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r>
              <w:t xml:space="preserve"> </w:t>
            </w:r>
            <w:r>
              <w:t xml:space="preserve">PRE-VERIFIED ENVIRONMENT FACTS (established 2026-07-29, not assumed — §11.4.6): - GitHub SpecKit IS installed at /home/milos/.local/bin/specify. It is NOT yet initialized in this repo (no .specify/ and no specs/ directory present). Initialization is therefore an explicit early task, not an assumption. -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 -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 - Both consumers exist in-tree: the inner Go module helix_code/ (module dev.helix.code) and the submodule submodules/helix_agent (module dev.helix.agent). MANDATORY DELIVERY CONSTRAINTS: - SpecKit-first: use GitHub SpecKit for ALL phases of the incorporation, bridged to Superpowers for implementation, executed subagent-driven (§11.4.70 / §11.4.20). - Exhaustive plan structured as phases -&gt; tasks -&gt; subtasks, with an exhaustive level of detail (down to lines-of-code and micro-POCs where the design is load-bearing). -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 - Documentation: extend AND update every existing doc, user manual, guide and FAQ — not only new ones. Produce illustrations, graphs and diagrams and incorporate them into all materials. Four-format export discipline per §11.4.65 / §11.4.153. Every doc reachable from the main README per §11.4.212. -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 -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 - Cross-consumer parity: HelixCode and HelixAgent must BOTH receive the full feature set; a capability landing in one and not the other is an incompleteness to be tracked, not silently accepted. - Progress tracked through the continuation docs, the memory/knowledge/remembering mechanisms, and the workable-items SSoT (§12.10 / §11.4.131 / §11.4.93 / §11.4.95). ACCEPTANCE CRITERIA: 1. A SpecKit specification exists and is initialized in-repo, covering every HelixSkills power-feature, with an explicit feature inventory proven complete against the upstream repository (an enumerated list, not a sample — §11.4.118). 2. A phase/task/subtask implementation plan exists at the stated depth, with each risk item paired to a concrete mitigation. 3. Every planned capability is wired and end-user-reachable in BOTH consumers, proven by §11.4.108 runtime signatures on a clean target — not merely compiled. 4. The full §11.4.169 test-type matrix is green with captured evidence, Challenges and HelixQA banks included. 5. All documentation is updated and exported, with the produced diagrams/illustrations incorporated, and reachable from README. 6. Independent code review reaches a zero-finding GO per §11.4.125 / §11.4.134 / §11.4.142. 7. No capability is claimed without runtime evidence — the anti-bluff covenant governs every closure (§11.4 / §11.4.1 / §11.4.123). §11.4.213 FEATURE research-and-planning WORK PROGRAM (scheduled, not yet executed): (a) Deep web-research series (articles / guides / scientific papers / open-source projects+codebases / real-world examples) on the best way to incorporate this feature into the project (§11.4.8 / §11.4.99 / §11.4.150). (b) Systematic-debug (§11.4.102) of ALL data obtained to enumerate EVERY weak spot / gap / danger-zone / inconsistency / imperfection, and design a risk-free, rock-solid solution for EACH one found. (c) The design MUST ALWAYS be enterprise-grade, bleeding-edge, and innovative – never less. (d) MANDATORY exhaustive documentation: many technical documents, an implementation plan down to lines-of-code + micro-proof-of-concepts, diagrams / schemes / graphs, illustrations, SQL definitions, templates, and every other relevant material (§11.4.65 / §11.4.73). (e) Investigate + plan REUSE of existing vasic-digital + HelixDevelopment submodules/components BEFORE proposing a rewrite; extend them freely where genuinely needed while keeping them fully decoupled / project-not-aware / reusable (§11.4.28 / §11.4.74 / §11.4.177). (f) Plan from the TESTING point of view from day one: every supported test type, the Challenges submodule, and full HelixQA bank coverage (§11.4.27 / §11.4.169). (g) Divide the work into phases / tasks / subtasks, fine-grained and nano-detailed enough to drive integration / implementation / wiring / testing / scaling directly. (h) Plan explicitly for enterprise scalability and maximal performance. (i) When the feature has a UI/UX surface, produce full wireframes / diagrams / design files (Figma / PSD / PDF, or whatever the project mandates) authored via OpenDesign (§11.4.162 / §11.4.190). (j) Plan full CodeGraph integration with regular / real-time index synchronisation (§11.4.78 / §11.4.79 / §11.4.80). (k) 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 Research-doc destination (to be populated when this item is worked): docs/research/fully_incorporate_the_helixskills_system_into_helixcode_heli_20260728T192622Z_2557683/ 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r>
              <w:t xml:space="preserve"> </w:t>
            </w:r>
            <w:r>
              <w:rPr>
                <w:b/>
                <w:bCs/>
              </w:rPr>
              <w:t xml:space="preserve">Affected scope / file-scope manifest:</w:t>
            </w:r>
            <w:r>
              <w:t xml:space="preserve"> </w:t>
            </w:r>
            <w:r>
              <w:t xml:space="preserve">Feature research/planning – destination: docs/research/fully_incorporate_the_helixskills_system_into_helixcode_heli_20260728T192622Z_2557683/</w:t>
            </w:r>
            <w:r>
              <w:t xml:space="preserve"> </w:t>
            </w:r>
            <w:r>
              <w:rPr>
                <w:b/>
                <w:bCs/>
              </w:rPr>
              <w:t xml:space="preserve">Reproduction / context:</w:t>
            </w:r>
            <w:r>
              <w:t xml:space="preserve"> </w:t>
            </w:r>
            <w:r>
              <w:t xml:space="preserve">UNKNOWN: not stated in the report — a reproduction MUST be established before any fix (§11.4.102 / §11.4.146 / §11.4.199)</w:t>
            </w:r>
            <w:r>
              <w:t xml:space="preserve"> </w:t>
            </w: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 === ADDENDUM — BINDING OPERATOR REQUIREMENT (2026-07-29, added after scheduling) === VERBATIM:</w:t>
            </w:r>
            <w:r>
              <w:t xml:space="preserve"> </w:t>
            </w:r>
            <w:r>
              <w:t xml:space="preserve">“Make sure that SpecKit and Superpowers are used with Bridge extension and with all extensons we have created derrived from constitution Submodule!”</w:t>
            </w:r>
            <w:r>
              <w:t xml:space="preserve"> </w:t>
            </w:r>
            <w:r>
              <w:t xml:space="preserve">This is not optional colour on the SpecKit mandate — it names specific existing assets that this work MUST compose with rather than duplicate (§11.4.74 extend-don’t-reimplement). THE BRIDGE EXTENSION (verified to exist, 2026-07-29): constitution/docs/research/extensions/speckit_superpowers/implementation/ — the</w:t>
            </w:r>
            <w:r>
              <w:t xml:space="preserve"> </w:t>
            </w:r>
            <w:r>
              <w:t xml:space="preserve">“Helix Constitution-Powered SpecKit-Superpowers Bridge”</w:t>
            </w:r>
            <w:r>
              <w:t xml:space="preserve">. Eight documents, each in .md/.html/.pdf/.docx: README, IMPLEMENTATION_PLAN, NANO_TASK_ENGINE, EXTENSION_DEVELOPMENT, TDD_INTEGRATION, CONSTITUTION_INTEGRATION, SECURITY, APPENDIX. It defines a SEVEN-LAYER architecture: 1 Developer Workstation 2 Spec-Kit Core (governance) 3 SuperSpec bridge (orchestration — github.com/WangX0111/superspec) 4 SuperB extension (discipline enforcement — speckit-community.github.io/extensions/superb) 5 SuperBridge MCP (execution) 6 Helix LLM (inference — github.com/HelixDevelopment/helix_llm) 7 Distributed host cluster (llama.cpp RPC) CONSTITUTION-DERIVED EXTENSIONS THAT MUST BE IN SCOPE (inherited BY REFERENCE per §11.4.228 — never copied locally, a copy diverges silently): constitution/skills/ (7) action-prefix-system, media-validator, multitrack, reporting-workable-items, scheduled-work-queue, session-sync, workable-item-lifecycle constitution/mcp/ (2) media-validator-mcp.json, scheduled-work-mcp.json constitution/plugins/ (2) helix, scheduled-work constitution/actions/ registry.yaml (§11.4.140 action system), subagent_tiering.yaml constitution/scripts/hooks/ (7 live) action_prefix_expand.sh, credential_scan_lib.sh, guard-branch-consistency.sh, guard-forbidden-commands.sh, guard-track-branch-label.sh, guard-work-track-binding.sh, post-merge ALREADY PRESENT LOCALLY — do not re-create: .claude/skills/ 10 registered speckit-* skills (analyze, checklist, clarify, constitution, converge, implement, plan, specify, tasks, taskstoissues) .specify/ workflows/speckit/workflow.yml, integrations/{claude,speckit}.manifest.json, scripts/bash/, templates/, memory/ ADDED ACCEPTANCE CRITERIA: 8. Every constitution-derived extension above has an explicit disposition — reused, extended, or orthogonal-with-reason. Silence is not an answer (§11.4.118). 9. Each of the 7 Bridge layers is classified WIRED vs DESIGNED-ONLY with a captured probe. A design document existing is NOT evidence a layer is installed — that is precisely the §11.4.108 SOURCE-vs-RUNTIME gap, and reporting a documented layer as an available one would be a §11.4 bluff. 10. The skill-namespace collision risk is addressed with a designed mitigation: HelixSkills is itself a skills system, while §11.4.164’s post_update_hook.sh already registers constitution skills into .claude/skills/. Two systems registering into one namespace needs defined precedence and clash handling, not discovery at runtime. 11. SuperSpec and SuperB are THIRD-PARTY, non-own-org dependencies (§11.4.74 vendor path) — their health, maintenance status and supply-chain exposure must be assessed, not assumed from the design doc referencing them.</w:t>
            </w:r>
          </w:p>
        </w:tc>
      </w:tr>
      <w:tr>
        <w:tc>
          <w:tcPr/>
          <w:p>
            <w:pPr>
              <w:pStyle w:val="Compact"/>
            </w:pPr>
            <w:r>
              <w:t xml:space="preserve">HXC-164</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tc>
      </w:tr>
      <w:tr>
        <w:tc>
          <w:tcPr/>
          <w:p>
            <w:pPr>
              <w:pStyle w:val="Compact"/>
            </w:pPr>
            <w:r>
              <w:t xml:space="preserve">HXC-166</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tc>
      </w:tr>
      <w:tr>
        <w:tc>
          <w:tcPr/>
          <w:p>
            <w:pPr>
              <w:pStyle w:val="Compact"/>
            </w:pPr>
            <w:r>
              <w:t xml:space="preserve">HXC-168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tc>
      </w:tr>
      <w:tr>
        <w:tc>
          <w:tcPr/>
          <w:p>
            <w:pPr>
              <w:pStyle w:val="Compact"/>
            </w:pPr>
            <w:r>
              <w:t xml:space="preserve">HXC-169</w:t>
            </w:r>
          </w:p>
        </w:tc>
        <w:tc>
          <w:tcPr/>
          <w:p>
            <w:pPr>
              <w:pStyle w:val="Compact"/>
            </w:pPr>
            <w:r>
              <w:t xml:space="preserve">Bug</w:t>
            </w:r>
          </w:p>
        </w:tc>
        <w:tc>
          <w:tcPr/>
          <w:p>
            <w:pPr>
              <w:pStyle w:val="Compact"/>
            </w:pPr>
            <w:r>
              <w:t xml:space="preserve">Queued</w:t>
            </w:r>
          </w:p>
        </w:tc>
        <w:tc>
          <w:tcPr/>
          <w:p>
            <w:pPr>
              <w:pStyle w:val="Compact"/>
            </w:pPr>
            <w:r>
              <w:t xml:space="preserve">Critical</w:t>
            </w:r>
          </w:p>
        </w:tc>
        <w:tc>
          <w:tcPr/>
          <w:p>
            <w:pPr>
              <w:pStyle w:val="Compact"/>
            </w:pPr>
            <w:r>
              <w:t xml:space="preserve">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tc>
      </w:tr>
      <w:tr>
        <w:tc>
          <w:tcPr/>
          <w:p>
            <w:pPr>
              <w:pStyle w:val="Compact"/>
            </w:pPr>
            <w:r>
              <w:t xml:space="preserve">HXC-171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tc>
      </w:tr>
      <w:tr>
        <w:tc>
          <w:tcPr/>
          <w:p>
            <w:pPr>
              <w:pStyle w:val="Compact"/>
            </w:pPr>
            <w:r>
              <w:t xml:space="preserve">HXC-172</w:t>
            </w:r>
          </w:p>
        </w:tc>
        <w:tc>
          <w:tcPr/>
          <w:p>
            <w:pPr>
              <w:pStyle w:val="Compact"/>
            </w:pPr>
            <w:r>
              <w:t xml:space="preserve">Task</w:t>
            </w:r>
          </w:p>
        </w:tc>
        <w:tc>
          <w:tcPr/>
          <w:p>
            <w:pPr>
              <w:pStyle w:val="Compact"/>
            </w:pPr>
            <w:r>
              <w:t xml:space="preserve">Operator-blocked</w:t>
            </w:r>
          </w:p>
        </w:tc>
        <w:tc>
          <w:tcPr/>
          <w:p>
            <w:pPr>
              <w:pStyle w:val="Compact"/>
            </w:pPr>
            <w:r>
              <w:t xml:space="preserve">High</w:t>
            </w:r>
          </w:p>
        </w:tc>
        <w:tc>
          <w:tcPr/>
          <w:p>
            <w:pPr>
              <w:pStyle w:val="Compac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tc>
      </w:tr>
      <w:tr>
        <w:tc>
          <w:tcPr/>
          <w:p>
            <w:pPr>
              <w:pStyle w:val="Compact"/>
            </w:pPr>
            <w:r>
              <w:t xml:space="preserve">HXC-175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tc>
      </w:tr>
      <w:tr>
        <w:tc>
          <w:tcPr/>
          <w:p>
            <w:pPr>
              <w:pStyle w:val="Compact"/>
            </w:pPr>
            <w:r>
              <w:t xml:space="preserve">HXC-178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tc>
      </w:tr>
      <w:tr>
        <w:tc>
          <w:tcPr/>
          <w:p>
            <w:pPr>
              <w:pStyle w:val="Compact"/>
            </w:pPr>
            <w:r>
              <w:t xml:space="preserve">HXC-179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tc>
      </w:tr>
      <w:tr>
        <w:tc>
          <w:tcPr/>
          <w:p>
            <w:pPr>
              <w:pStyle w:val="Compact"/>
            </w:pPr>
            <w:r>
              <w:t xml:space="preserve">HXC-180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tc>
      </w:tr>
      <w:tr>
        <w:tc>
          <w:tcPr/>
          <w:p>
            <w:pPr>
              <w:pStyle w:val="Compact"/>
            </w:pPr>
            <w:r>
              <w:t xml:space="preserve">HXC-181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tc>
      </w:tr>
      <w:tr>
        <w:tc>
          <w:tcPr/>
          <w:p>
            <w:pPr>
              <w:pStyle w:val="Compact"/>
            </w:pPr>
            <w:r>
              <w:t xml:space="preserve">HXC-186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tc>
      </w:tr>
      <w:tr>
        <w:tc>
          <w:tcPr/>
          <w:p>
            <w:pPr>
              <w:pStyle w:val="Compact"/>
            </w:pPr>
            <w:r>
              <w:t xml:space="preserve">HXC-188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tc>
      </w:tr>
      <w:tr>
        <w:tc>
          <w:tcPr/>
          <w:p>
            <w:pPr>
              <w:pStyle w:val="Compact"/>
            </w:pPr>
            <w:r>
              <w:t xml:space="preserve">HXC-189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tc>
      </w:tr>
      <w:tr>
        <w:tc>
          <w:tcPr/>
          <w:p>
            <w:pPr>
              <w:pStyle w:val="Compact"/>
            </w:pPr>
            <w:r>
              <w:t xml:space="preserve">HXC-190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tc>
      </w:tr>
      <w:tr>
        <w:tc>
          <w:tcPr/>
          <w:p>
            <w:pPr>
              <w:pStyle w:val="Compact"/>
            </w:pPr>
            <w:r>
              <w:t xml:space="preserve">HXC-191</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tc>
      </w:tr>
      <w:tr>
        <w:tc>
          <w:tcPr/>
          <w:p>
            <w:pPr>
              <w:pStyle w:val="Compact"/>
            </w:pPr>
            <w:r>
              <w:t xml:space="preserve">HXC-192</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tc>
      </w:tr>
      <w:tr>
        <w:tc>
          <w:tcPr/>
          <w:p>
            <w:pPr>
              <w:pStyle w:val="Compact"/>
            </w:pPr>
            <w:r>
              <w:t xml:space="preserve">HXC-193</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tc>
      </w:tr>
      <w:tr>
        <w:tc>
          <w:tcPr/>
          <w:p>
            <w:pPr>
              <w:pStyle w:val="Compact"/>
            </w:pPr>
            <w:r>
              <w:t xml:space="preserve">HXC-194</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tc>
      </w:tr>
      <w:tr>
        <w:tc>
          <w:tcPr/>
          <w:p>
            <w:pPr>
              <w:pStyle w:val="Compact"/>
            </w:pPr>
            <w:r>
              <w:t xml:space="preserve">HXC-195</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tc>
      </w:tr>
      <w:tr>
        <w:tc>
          <w:tcPr/>
          <w:p>
            <w:pPr>
              <w:pStyle w:val="Compact"/>
            </w:pPr>
            <w:r>
              <w:t xml:space="preserve">HXC-196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tc>
      </w:tr>
      <w:tr>
        <w:tc>
          <w:tcPr/>
          <w:p>
            <w:pPr>
              <w:pStyle w:val="Compact"/>
            </w:pPr>
            <w:r>
              <w:t xml:space="preserve">HXC-197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tc>
      </w:tr>
      <w:tr>
        <w:tc>
          <w:tcPr/>
          <w:p>
            <w:pPr>
              <w:pStyle w:val="Compact"/>
            </w:pPr>
            <w:r>
              <w:t xml:space="preserve">HXC-198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tc>
      </w:tr>
      <w:tr>
        <w:tc>
          <w:tcPr/>
          <w:p>
            <w:pPr>
              <w:pStyle w:val="Compact"/>
            </w:pPr>
            <w:r>
              <w:t xml:space="preserve">HXC-199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tc>
      </w:tr>
      <w:tr>
        <w:tc>
          <w:tcPr/>
          <w:p>
            <w:pPr>
              <w:pStyle w:val="Compact"/>
            </w:pPr>
            <w:r>
              <w:t xml:space="preserve">HXC-200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tc>
      </w:tr>
      <w:tr>
        <w:tc>
          <w:tcPr/>
          <w:p>
            <w:pPr>
              <w:pStyle w:val="Compact"/>
            </w:pPr>
            <w:r>
              <w:t xml:space="preserve">HXC-201</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tc>
      </w:tr>
      <w:tr>
        <w:tc>
          <w:tcPr/>
          <w:p>
            <w:pPr>
              <w:pStyle w:val="Compact"/>
            </w:pPr>
            <w:r>
              <w:t xml:space="preserve">HXC-202</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tc>
      </w:tr>
      <w:tr>
        <w:tc>
          <w:tcPr/>
          <w:p>
            <w:pPr>
              <w:pStyle w:val="Compact"/>
            </w:pPr>
            <w:r>
              <w:t xml:space="preserve">HXC-204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tc>
      </w:tr>
      <w:tr>
        <w:tc>
          <w:tcPr/>
          <w:p>
            <w:pPr>
              <w:pStyle w:val="Compact"/>
            </w:pPr>
            <w:r>
              <w:t xml:space="preserve">HXC-205</w:t>
            </w:r>
          </w:p>
        </w:tc>
        <w:tc>
          <w:tcPr/>
          <w:p>
            <w:pPr>
              <w:pStyle w:val="Compact"/>
            </w:pPr>
            <w:r>
              <w:t xml:space="preserve">Bug</w:t>
            </w:r>
          </w:p>
        </w:tc>
        <w:tc>
          <w:tcPr/>
          <w:p>
            <w:pPr>
              <w:pStyle w:val="Compact"/>
            </w:pPr>
            <w:r>
              <w:t xml:space="preserve">Queued</w:t>
            </w:r>
          </w:p>
        </w:tc>
        <w:tc>
          <w:tcPr/>
          <w:p>
            <w:pPr>
              <w:pStyle w:val="Compact"/>
            </w:pPr>
            <w:r>
              <w:t xml:space="preserve">Critical</w:t>
            </w:r>
          </w:p>
        </w:tc>
        <w:tc>
          <w:tcPr/>
          <w:p>
            <w:pPr>
              <w:pStyle w:val="Compact"/>
            </w:pPr>
            <w:r>
              <w:t xml:space="preserve">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tc>
      </w:tr>
      <w:tr>
        <w:tc>
          <w:tcPr/>
          <w:p>
            <w:pPr>
              <w:pStyle w:val="Compact"/>
            </w:pPr>
            <w:r>
              <w:t xml:space="preserve">HXC-206</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tc>
      </w:tr>
      <w:tr>
        <w:tc>
          <w:tcPr/>
          <w:p>
            <w:pPr>
              <w:pStyle w:val="Compact"/>
            </w:pPr>
            <w:r>
              <w:t xml:space="preserve">HXC-207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tc>
      </w:tr>
      <w:tr>
        <w:tc>
          <w:tcPr/>
          <w:p>
            <w:pPr>
              <w:pStyle w:val="Compact"/>
            </w:pPr>
            <w:r>
              <w:t xml:space="preserve">HXC-208</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tc>
      </w:tr>
      <w:tr>
        <w:tc>
          <w:tcPr/>
          <w:p>
            <w:pPr>
              <w:pStyle w:val="Compact"/>
            </w:pPr>
            <w:r>
              <w:t xml:space="preserve">HXC-209</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tc>
      </w:tr>
      <w:tr>
        <w:tc>
          <w:tcPr/>
          <w:p>
            <w:pPr>
              <w:pStyle w:val="Compact"/>
            </w:pPr>
            <w:r>
              <w:t xml:space="preserve">HXC-210</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tc>
      </w:tr>
      <w:tr>
        <w:tc>
          <w:tcPr/>
          <w:p>
            <w:pPr>
              <w:pStyle w:val="Compact"/>
            </w:pPr>
            <w:r>
              <w:t xml:space="preserve">HXC-211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tc>
      </w:tr>
      <w:tr>
        <w:tc>
          <w:tcPr/>
          <w:p>
            <w:pPr>
              <w:pStyle w:val="Compact"/>
            </w:pPr>
            <w:r>
              <w:t xml:space="preserve">HXC-212</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tc>
      </w:tr>
      <w:tr>
        <w:tc>
          <w:tcPr/>
          <w:p>
            <w:pPr>
              <w:pStyle w:val="Compact"/>
            </w:pPr>
            <w:r>
              <w:t xml:space="preserve">HXC-213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tc>
      </w:tr>
      <w:tr>
        <w:tc>
          <w:tcPr/>
          <w:p>
            <w:pPr>
              <w:pStyle w:val="Compact"/>
            </w:pPr>
            <w:r>
              <w:t xml:space="preserve">HXC-214</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2026-07-30T22:02:14Z</dcterms:created>
  <dcterms:modified xsi:type="dcterms:W3CDTF">2026-07-30T22:02:14Z</dcterms:modified>
</cp:coreProperties>
</file>

<file path=docProps/custom.xml><?xml version="1.0" encoding="utf-8"?>
<Properties xmlns="http://schemas.openxmlformats.org/officeDocument/2006/custom-properties" xmlns:vt="http://schemas.openxmlformats.org/officeDocument/2006/docPropsVTypes"/>
</file>