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33</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11</w:t>
            </w:r>
          </w:p>
        </w:tc>
      </w:tr>
      <w:tr>
        <w:tc>
          <w:tcPr/>
          <w:p>
            <w:pPr>
              <w:pStyle w:val="Compact"/>
            </w:pPr>
            <w:r>
              <w:rPr>
                <w:b/>
                <w:bCs/>
              </w:rPr>
              <w:t xml:space="preserve">TOTAL</w:t>
            </w:r>
          </w:p>
        </w:tc>
        <w:tc>
          <w:tcPr/>
          <w:p>
            <w:pPr>
              <w:pStyle w:val="Compact"/>
            </w:pPr>
          </w:p>
        </w:tc>
        <w:tc>
          <w:tcPr/>
          <w:p>
            <w:pPr>
              <w:pStyle w:val="Compact"/>
            </w:pPr>
            <w:r>
              <w:rPr>
                <w:b/>
                <w:bCs/>
              </w:rPr>
              <w:t xml:space="preserve">46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publishing the agent component, the hosting provider reported a large number of outstanding security advisories against the libraries it depends on, originally recorded as 204. That figure turns out to be unreliable in three separate ways, all now measured. It drifts upward on its own as new advisories are published — 204 when the item was filed, 205 the next day, and 210 on a live re-query on 2026-08-06 — so no fixed number can ever be</w:t>
            </w:r>
            <w:r>
              <w:t xml:space="preserve"> </w:t>
            </w:r>
            <w:r>
              <w:t xml:space="preserve">“the”</w:t>
            </w:r>
            <w:r>
              <w:t xml:space="preserve"> </w:t>
            </w:r>
            <w:r>
              <w:t xml:space="preserve">count. It over-states the work by about a fifth, because the same advisory is counted once for every dependency file it appears in: 210 rows collapse to 169 genuinely distinct advisories, and the five criticals collapse to four. And it comes from only one of the two places this code is published; the other copy reports zero, because advisory scanning was never switched on there. The recorded breakdown was also wrong: the real split is 5 critical, 88 high, 99 moderate and 18 low. A full reachability triage has now been completed, and it changes the picture substantially. An advisory only endangers a user if the affected code can actually be reached in something we ship, and on that test none of them currently qualify. The Go vulnerability scanner, run from the seven binaries we actually release, reports our code is affected by zero vulnerabilities; a handful of findings against a container library are reachable only from one internal package that nothing else in the codebase refers to and that never enters a released binary at all. Seven in ten of the remaining alerts, including three of the four critical ones, belong to a single copied-in third-party project whose container definition points at a build file that does not exist, so it cannot start today. Most of the rest belong to a browser toolkit that no release process ever builds. Exactly one alert touches a component that genuinely ships and runs, and the defence that advisory asks for has already been written and tested in our own code; the alert stays open only because the dependency version label was not bumped to match. A related piece of housekeeping was resolved while this triage was running: roughly 8,900 files of downloaded third-party library code, including the vulnerable template library behind one critical advisory, had been committed into the repository, and have now been removed from the tracked files, though they remain in the project history. The practical benefit of finishing this work is that the alarming published number stops misrepresenting the product, and we regain the ability to say honestly, with evidence, that nothing we ship carries a reachable known vulnerability. This item stays open because the third part of its acceptance criterion has not been done: the dependencies behind the critical and high findings have not yet been upgraded or removed, and the decision on whether to repair or retire the copied-in project that carries most of them is an operator call.</w:t>
            </w:r>
          </w:p>
        </w:tc>
      </w:tr>
      <w:tr>
        <w:tc>
          <w:tcPr/>
          <w:p>
            <w:pPr>
              <w:pStyle w:val="Compact"/>
            </w:pPr>
            <w:r>
              <w:t xml:space="preserve">HXC-168</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HXC-216</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tc>
      </w:tr>
      <w:tr>
        <w:tc>
          <w:tcPr/>
          <w:p>
            <w:pPr>
              <w:pStyle w:val="Compact"/>
            </w:pPr>
            <w:r>
              <w:t xml:space="preserve">HXC-219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tc>
      </w:tr>
      <w:tr>
        <w:tc>
          <w:tcPr/>
          <w:p>
            <w:pPr>
              <w:pStyle w:val="Compact"/>
            </w:pPr>
            <w:r>
              <w:t xml:space="preserve">HXC-224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tc>
      </w:tr>
      <w:tr>
        <w:tc>
          <w:tcPr/>
          <w:p>
            <w:pPr>
              <w:pStyle w:val="Compact"/>
            </w:pPr>
            <w:r>
              <w:t xml:space="preserve">HXC-225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tc>
      </w:tr>
      <w:tr>
        <w:tc>
          <w:tcPr/>
          <w:p>
            <w:pPr>
              <w:pStyle w:val="Compact"/>
            </w:pPr>
            <w:r>
              <w:t xml:space="preserve">HXC-226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tc>
      </w:tr>
      <w:tr>
        <w:tc>
          <w:tcPr/>
          <w:p>
            <w:pPr>
              <w:pStyle w:val="Compact"/>
            </w:pPr>
            <w:r>
              <w:t xml:space="preserve">HXC-227</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tc>
      </w:tr>
      <w:tr>
        <w:tc>
          <w:tcPr/>
          <w:p>
            <w:pPr>
              <w:pStyle w:val="Compact"/>
            </w:pPr>
            <w:r>
              <w:t xml:space="preserve">HXC-229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tc>
      </w:tr>
      <w:tr>
        <w:tc>
          <w:tcPr/>
          <w:p>
            <w:pPr>
              <w:pStyle w:val="Compact"/>
            </w:pPr>
            <w:r>
              <w:t xml:space="preserve">HXC-231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tc>
      </w:tr>
      <w:tr>
        <w:tc>
          <w:tcPr/>
          <w:p>
            <w:pPr>
              <w:pStyle w:val="Compact"/>
            </w:pPr>
            <w:r>
              <w:t xml:space="preserve">HXC-232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tc>
      </w:tr>
      <w:tr>
        <w:tc>
          <w:tcPr/>
          <w:p>
            <w:pPr>
              <w:pStyle w:val="Compact"/>
            </w:pPr>
            <w:r>
              <w:t xml:space="preserve">HXC-233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the HelixLLM gateway starts it tries to launch a bundled local model server program called llama-server and fails because the program cannot be found. Searching the machine confirms the situation is worse than a misconfigured search path: no file called llama-server exists anywhere on the host, so this is not something that can be fixed by pointing the service at the right directory. The gateway records the failure as a warning and carries on without it, so nothing appears broken, but the local model serving feature is absent for the entire life of the service. This is particularly wasteful because the gateway had just spent thirty-seven minutes downloading a large model file specifically so this server could serve it; the download succeeded and the file sits on disk unused. Observed live on 2026-08-06 during a full platform boot. Fixing this requires actually obtaining and installing the program, then making sure the service can find it; it also raises the question of whether the gateway should be downloading models at all when the program that would consume them is not present.</w:t>
            </w:r>
          </w:p>
        </w:tc>
      </w:tr>
      <w:tr>
        <w:tc>
          <w:tcPr/>
          <w:p>
            <w:pPr>
              <w:pStyle w:val="Compact"/>
            </w:pPr>
            <w:r>
              <w:t xml:space="preserve">HXC-234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tc>
      </w:tr>
      <w:tr>
        <w:tc>
          <w:tcPr/>
          <w:p>
            <w:pPr>
              <w:pStyle w:val="Compact"/>
            </w:pPr>
            <w:r>
              <w:t xml:space="preserve">HXC-235</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tc>
      </w:tr>
      <w:tr>
        <w:tc>
          <w:tcPr/>
          <w:p>
            <w:pPr>
              <w:pStyle w:val="Compact"/>
            </w:pPr>
            <w:r>
              <w:t xml:space="preserve">HXC-236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tc>
      </w:tr>
      <w:tr>
        <w:tc>
          <w:tcPr/>
          <w:p>
            <w:pPr>
              <w:pStyle w:val="Compact"/>
            </w:pPr>
            <w:r>
              <w:t xml:space="preserve">HXC-238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tc>
      </w:tr>
      <w:tr>
        <w:tc>
          <w:tcPr/>
          <w:p>
            <w:pPr>
              <w:pStyle w:val="Compact"/>
            </w:pPr>
            <w:r>
              <w:t xml:space="preserve">HXC-239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tc>
      </w:tr>
      <w:tr>
        <w:tc>
          <w:tcPr/>
          <w:p>
            <w:pPr>
              <w:pStyle w:val="Compact"/>
            </w:pPr>
            <w:r>
              <w:t xml:space="preserve">HXC-240</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tc>
      </w:tr>
      <w:tr>
        <w:tc>
          <w:tcPr/>
          <w:p>
            <w:pPr>
              <w:pStyle w:val="Compact"/>
            </w:pPr>
            <w:r>
              <w:t xml:space="preserve">HXC-241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tc>
      </w:tr>
      <w:tr>
        <w:tc>
          <w:tcPr/>
          <w:p>
            <w:pPr>
              <w:pStyle w:val="Compact"/>
            </w:pPr>
            <w:r>
              <w:t xml:space="preserve">HXC-242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tc>
      </w:tr>
      <w:tr>
        <w:tc>
          <w:tcPr/>
          <w:p>
            <w:pPr>
              <w:pStyle w:val="Compact"/>
            </w:pPr>
            <w:r>
              <w:t xml:space="preserve">HXC-243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tc>
      </w:tr>
      <w:tr>
        <w:tc>
          <w:tcPr/>
          <w:p>
            <w:pPr>
              <w:pStyle w:val="Compact"/>
            </w:pPr>
            <w:r>
              <w:t xml:space="preserve">HXC-245</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blocked work item (HXC-172) has its explanation stored in the database but no longer has that same explanation written into its own descriptive text, and the two are supposed to agree. The tracker rebuilds those stored explanations FROM the descriptive text every time it regenerates its records, so an explanation that exists only in the database and not in the text is discarded the next time the tracker runs a full regeneration. That is what happens today: a regenerate-and-reread cycle drops it, and the tracker’s own validation then correctly reports the item as blocked-without-an-explanation. This matters because that explanation is what makes a blocked item actionable — it records what is blocked, what was already tried, and which decision would unblock it; losing it turns a tracked decision waiting on a person into an item nobody can act on. The operator benefits by keeping the context needed to make the blocking decision, and future contributors can see why the item stalled. The expected outcome is that the item’s descriptive text carries its explanation again, the stored and written copies agree, and a regenerate-and-reread cycle preserves it — proven by the tracker’s validation passing on the regenerated records.</w:t>
            </w:r>
          </w:p>
        </w:tc>
      </w:tr>
      <w:tr>
        <w:tc>
          <w:tcPr/>
          <w:p>
            <w:pPr>
              <w:pStyle w:val="Compact"/>
            </w:pPr>
            <w:r>
              <w:t xml:space="preserve">HXC-246</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tc>
      </w:tr>
      <w:tr>
        <w:tc>
          <w:tcPr/>
          <w:p>
            <w:pPr>
              <w:pStyle w:val="Compact"/>
            </w:pPr>
            <w:r>
              <w:t xml:space="preserve">HXC-247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w:t>
            </w:r>
          </w:p>
        </w:tc>
      </w:tr>
      <w:tr>
        <w:tc>
          <w:tcPr/>
          <w:p>
            <w:pPr>
              <w:pStyle w:val="Compact"/>
            </w:pPr>
            <w:r>
              <w:t xml:space="preserve">HXC-248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2026-08-09T13:04:19Z</dcterms:created>
  <dcterms:modified xsi:type="dcterms:W3CDTF">2026-08-09T13:04:19Z</dcterms:modified>
</cp:coreProperties>
</file>

<file path=docProps/custom.xml><?xml version="1.0" encoding="utf-8"?>
<Properties xmlns="http://schemas.openxmlformats.org/officeDocument/2006/custom-properties" xmlns:vt="http://schemas.openxmlformats.org/officeDocument/2006/docPropsVTypes"/>
</file>