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(violates §11.4.76 — bypasses the shared containers component and has already caused one real outage per the ticket’s own account; remaining error-hiding on optional service startups makes a future failed start indistinguishable from success, a live anti-bluff gap — not High because no currently-shipped user path is broken today)</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(triaged 2026-08-06: 0 of 210 live advisories are reachable-and-unmitigated in any shipped helix_agent artifact. Go: govulncheck from the 8 shipped cmd/ entrypoints reports</w:t>
      </w:r>
      <w:r>
        <w:t xml:space="preserve"> </w:t>
      </w:r>
      <w:r>
        <w:t xml:space="preserve">“affected by 0 vulnerabilities”</w:t>
      </w:r>
      <w:r>
        <w:t xml:space="preserve">; the 3 symbol-reachable docker findings reach only internal/clis/openhands, which has 0 importers and 0 presence in the shipped dependency closure. npm/pip: 148 of 210 (incl. 3 of 4 distinct criticals) are in mcp-servers/GitMCP, whose compose service names a Dockerfile that does not exist; 25 (incl. the handlebars critical) are in sdk/web, which no release mechanism builds. Exactly 1 alert (GHSA-w48q-cv73-mx4w) touches the genuinely shipped plugins/mcp-server, and it is already mitigated in code by HXC-172/d0a53e0b with paired tests. Medium not Low because mcp-gitmcp is a wired compose service one missing file away from building 3 criticals into a running container; not High because no reachable path to a shipped artifact exists today.)</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Two DIFFERENT credentials are in play and the item’s original framing is now partly stale. (1) The literal HXC-168 was filed about (sha8=d297e142, 9 chars) was REMOVED from every tracked executable file by commit 11861996 (2026-07-31), which sourced it from a gitignored .env and added scripts/gates/no_hardcoded_db_credential_gate.sh; that commit explicitly states it does NOT close HXC-168 because the value was never rotated. It survives only in docs/</w:t>
      </w:r>
      <w:r>
        <w:rPr>
          <w:i/>
          <w:iCs/>
        </w:rPr>
        <w:t xml:space="preserve">.md|.html and one .txt. (2) The UNFIXED and more serious exposure is a SECOND literal (sha8=2087713a, 23 chars) at compose.helixcode-infra.yml:30 and again as an inline connection URL at :215 - tracked, and published on all four mirrors via commit f91d4477. Three independent reads confirm it is the LIVE database password: the tracked compose file, podman inspect of helixcode-infra-postgres .Config.Env, and the gitignored 0600 .env HELIX_DATABASE_PASSWORD - all sha8=2087713a. So the private-config mechanism exists and is wired, but the value inside it was never rotated away from the published one. Reachability is NOT localhost-only: ss -ltn shows LISTEN</w:t>
      </w:r>
      <w:r>
        <w:rPr>
          <w:i/>
          <w:iCs/>
        </w:rPr>
        <w:t xml:space="preserve"> </w:t>
      </w:r>
      <w:r>
        <w:t xml:space="preserve">:5433 (wildcard bind, LAN-reachable on 10.6.100.0/24); the host has only RFC1918 addresses, so public-internet exposure is NOT established either way (no firewall tooling on PATH to verify - honest gap per 11.4.6). Mitigating: the database is helixcode_test, user helixcode. Two defects in the guard itself: no_hardcoded_db_credential_gate.sh currently exits 1 (CHECK 1 trips on the fix’s own tracked evidence transcript, a .txt its prose exclusion misses), and compose.helixcode-infra.yml is NOT in its SCOPE_FILES - which is why it reports PASS on the file that boots the live platform. The gate is also not wired into any pre-build sweep, so nothing runs it automatically. WHY: Self-resolution exhausted for the ROTATION half only; the FILE half remains agent-safe and is enumerated as choice [E]. Rotation requires ALTER ROLE helixcode PASSWORD against the LIVE helixcode-infra-postgres (POSTGRES_PASSWORD applies only at volume init, so a compose edit alone changes nothing on an existing volume), rewriting .env, and recreating the postgres container plus every consumer - with three other agents live in this checkout and a green platform (gateway :8443, helixagent :7061, helixcode-server :8081, 12 containers, NRestarts=0). That is irreversible-in-effect, high-blast-radius, and its safe choice is not determinable from captured evidence, so 11.4.101 requires a BLOCK rather than an autonomous decision; 11.4.122 additionally forbids disturbing running components without operator confirmation. Because the value is already in git history on four mirrors, 11.4.113 forbids rewriting it away - rotation is the ONLY remedy, never a history rewrite. UNBLOCK: [A] ROTATE NOW - ALTER ROLE + regenerate .env + recreate helixcode-infra-postgres and dependent services; costs seconds-to-minutes of DB downtime and WILL disrupt the three live agents and the currently-green platform. [B] ROTATE AT THE NEXT MAINTENANCE WINDOW - no disturbance now; the published-credential exposure persists until then. [C] REDUCE EXPOSURE FIRST, ROTATE LATER - rebind 5433 (and autoboot 55432, docker/ 5432) to 127.0.0.1; container-restart only, no credential change; shrinks LAN reach to loopback immediately. [D] ACCEPT AND RECORD THE ACCEPTANCE (11.4.90 Obsolete with Obsolete-Details) on the grounds that the DB is helixcode_test on an RFC1918-only host - but this CANNOT be justified as</w:t>
      </w:r>
      <w:r>
        <w:t xml:space="preserve"> </w:t>
      </w:r>
      <w:r>
        <w:t xml:space="preserve">‘localhost only’</w:t>
      </w:r>
      <w:r>
        <w:t xml:space="preserve">: the bind is *:5433 and is LAN-reachable. [E] SPLIT THE ITEM - let an agent land the file half now (compose.helixcode-infra.yml:30,215; helix_code/docker-compose.full-test.yml:24,473; helix_code/.env.full-test:15; helix_code/tests/e2e/.env.example:67; helix_code/test_programs/test_db_connection.go:15; the instruction-shaped doc copies) plus the two gate defects, with NO live impact, and keep a separate operator-owned rotation item - which is exactly how 25d41351 -&gt; 11861996 already sequenced this work. WHO: Operator</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2"/>
    <w:bookmarkStart w:id="23"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3"/>
    <w:bookmarkStart w:id="24"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4"/>
    <w:bookmarkStart w:id="25"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5"/>
    <w:bookmarkStart w:id="26"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6"/>
    <w:bookmarkStart w:id="27"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7"/>
    <w:bookmarkStart w:id="28"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8"/>
    <w:bookmarkStart w:id="29"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29"/>
    <w:bookmarkStart w:id="30"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0"/>
    <w:bookmarkStart w:id="3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1"/>
    <w:bookmarkStart w:id="3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2"/>
    <w:bookmarkStart w:id="33"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(test-infrastructure only — the Slack and LLM-provider mocks are e2e test doubles, never shipped to users; blocks container-level proof for those two mocks specifically, but the concrete permissive-origin fix that surfaced this gap was still fully provable and shipped at the source/process layer)</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3"/>
    <w:bookmarkStart w:id="34" w:name="X53bafc2014dcddcc1be2758d48829917ce00a3f"/>
    <w:p>
      <w:pPr>
        <w:pStyle w:val="Heading2"/>
      </w:pPr>
      <w:r>
        <w:t xml:space="preserve">HXC-216 — Thirty-five historical evidence folders hold runs that were never saved to the repository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(the recurrence-causing gitignore bug is already fixed — commit 7552c7bd; I confirmed only 1 untracked docs/qa/ dir remains today, not 35; remaining scope is a one-time backlog cleanup of already-closed items’ historical evidence, with no bearing on any currently open or future closure)</w:t>
      </w:r>
    </w:p>
    <w:p>
      <w:pPr>
        <w:pStyle w:val="BodyTex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bookmarkEnd w:id="34"/>
    <w:bookmarkStart w:id="35" w:name="X98260ea3ec7cf5fe354a30afa8d209c10c42a29"/>
    <w:p>
      <w:pPr>
        <w:pStyle w:val="Heading2"/>
      </w:pPr>
      <w:r>
        <w:t xml:space="preserve">HXC-219 — Evidence-gate handbook never explained the new citation rule, and its exported copies are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bookmarkEnd w:id="35"/>
    <w:bookmarkStart w:id="36" w:name="X0dccd39f6c3eaef501f0bfbfdcc1fb6299e84e3"/>
    <w:p>
      <w:pPr>
        <w:pStyle w:val="Heading2"/>
      </w:pPr>
      <w:r>
        <w:t xml:space="preserve">HXC-225 — One vendored helper server accounts for two thirds of all our reported vulnerabilities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(direct sibling of HXC-171, same shape and same rating: a vendored component of unverified origin/usage inflates the headline vulnerability count — 140 of roughly 208 — burying the few that matter; not Low because an undiscussed component silently shipping or wired in unnoticed is a real provenance/supply-chain gap requiring an explicit operator decision; not High because HXC-166’s independent triage already found 0 of 210 total advisories reachable-and-unmitigated in any shipped helix_agent artifact today)</w:t>
      </w:r>
    </w:p>
    <w:p>
      <w:pPr>
        <w:pStyle w:val="BodyTex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bookmarkEnd w:id="36"/>
    <w:bookmarkStart w:id="39" w:name="X653942e8bf7606aa5a97d2d2fd19ab69ff444bf"/>
    <w:p>
      <w:pPr>
        <w:pStyle w:val="Heading2"/>
      </w:pPr>
      <w:r>
        <w:t xml:space="preserve">HXC-224 — Closure-evidence pointers are unchecked free text, so proof of completed work silently becomes unreachable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Evidence:</w:t>
      </w:r>
      <w:r>
        <w:t xml:space="preserve"> </w:t>
      </w:r>
      <w:r>
        <w:t xml:space="preserve">docs/qa/hxc217_evidence_path_resolve_20260805T082033Z</w:t>
      </w:r>
    </w:p>
    <w:p>
      <w:pPr>
        <w:pStyle w:val="BodyTex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bookmarkStart w:id="37" w:name="X811ca5d3e3c895de2b5de919d64f6137476a34c"/>
    <w:p>
      <w:pPr>
        <w:pStyle w:val="Heading3"/>
      </w:pPr>
      <w:r>
        <w:t xml:space="preserve">Forensic anchor (FACT, HXC-217 audit 2026-08-05)</w:t>
      </w:r>
    </w:p>
    <w:p>
      <w:pPr>
        <w:pStyle w:val="FirstParagraph"/>
      </w:pPr>
      <w:r>
        <w:t xml:space="preserve">Of 127 closure records carrying an evidence pointer,</w:t>
      </w:r>
      <w:r>
        <w:t xml:space="preserve"> </w:t>
      </w:r>
      <w:r>
        <w:rPr>
          <w:b/>
          <w:bCs/>
        </w:rPr>
        <w:t xml:space="preserve">16 (across 14 tickets) did</w:t>
      </w:r>
      <w:r>
        <w:rPr>
          <w:b/>
          <w:bCs/>
        </w:rPr>
        <w:t xml:space="preserve"> </w:t>
      </w:r>
      <w:r>
        <w:rPr>
          <w:b/>
          <w:bCs/>
        </w:rPr>
        <w:t xml:space="preserve">not resolve</w:t>
      </w:r>
      <w:r>
        <w:t xml:space="preserve">. Systematically resolving every one:</w:t>
      </w:r>
    </w:p>
    <w:p>
      <w:pPr>
        <w:pStyle w:val="Compact"/>
        <w:numPr>
          <w:ilvl w:val="0"/>
          <w:numId w:val="1002"/>
        </w:numPr>
      </w:pPr>
      <w:r>
        <w:rPr>
          <w:b/>
          <w:bCs/>
        </w:rPr>
        <w:t xml:space="preserve">4 rows</w:t>
      </w:r>
      <w:r>
        <w:t xml:space="preserve"> </w:t>
      </w:r>
      <w:r>
        <w:t xml:space="preserve">(HXC-107, HXC-108 x2, HXC-112) were</w:t>
      </w:r>
      <w:r>
        <w:t xml:space="preserve"> </w:t>
      </w:r>
      <w:r>
        <w:rPr>
          <w:rStyle w:val="VerbatimChar"/>
        </w:rPr>
        <w:t xml:space="preserve">event_type='Updated'</w:t>
      </w:r>
      <w:r>
        <w:t xml:space="preserve">,</w:t>
      </w:r>
      <w:r>
        <w:t xml:space="preserve"> </w:t>
      </w:r>
      <w:r>
        <w:rPr>
          <w:rStyle w:val="VerbatimChar"/>
        </w:rPr>
        <w:t xml:space="preserve">reason='operator-blocked'</w:t>
      </w:r>
      <w:r>
        <w:t xml:space="preserve"> </w:t>
      </w:r>
      <w:r>
        <w:rPr>
          <w:b/>
          <w:bCs/>
        </w:rPr>
        <w:t xml:space="preserve">progress notes, not closures</w:t>
      </w:r>
      <w:r>
        <w:t xml:space="preserve">. Their real</w:t>
      </w:r>
      <w:r>
        <w:t xml:space="preserve"> </w:t>
      </w:r>
      <w:r>
        <w:t xml:space="preserve">closure events resolve cleanly. These were false positives of the audit’s own</w:t>
      </w:r>
      <w:r>
        <w:t xml:space="preserve"> </w:t>
      </w:r>
      <w:r>
        <w:t xml:space="preserve">population query — a guard that refuses a valid state (§11.4.201(1)).</w:t>
      </w:r>
    </w:p>
    <w:p>
      <w:pPr>
        <w:pStyle w:val="Compact"/>
        <w:numPr>
          <w:ilvl w:val="0"/>
          <w:numId w:val="1002"/>
        </w:numPr>
      </w:pPr>
      <w:r>
        <w:rPr>
          <w:b/>
          <w:bCs/>
        </w:rPr>
        <w:t xml:space="preserve">4 rows</w:t>
      </w:r>
      <w:r>
        <w:t xml:space="preserve"> </w:t>
      </w:r>
      <w:r>
        <w:t xml:space="preserve">(HXC-124, HXC-131 x2, HXC-132) were</w:t>
      </w:r>
      <w:r>
        <w:t xml:space="preserve"> </w:t>
      </w:r>
      <w:r>
        <w:rPr>
          <w:b/>
          <w:bCs/>
        </w:rPr>
        <w:t xml:space="preserve">path drift</w:t>
      </w:r>
      <w:r>
        <w:t xml:space="preserve">: substantive</w:t>
      </w:r>
      <w:r>
        <w:t xml:space="preserve"> </w:t>
      </w:r>
      <w:r>
        <w:t xml:space="preserve">git-tracked evidence exists at</w:t>
      </w:r>
      <w:r>
        <w:t xml:space="preserve"> </w:t>
      </w:r>
      <w:r>
        <w:rPr>
          <w:rStyle w:val="VerbatimChar"/>
        </w:rPr>
        <w:t xml:space="preserve">scratch/discovery/fixes/*_evidence.md</w:t>
      </w:r>
      <w:r>
        <w:t xml:space="preserve">; the DB</w:t>
      </w:r>
      <w:r>
        <w:t xml:space="preserve"> </w:t>
      </w:r>
      <w:r>
        <w:t xml:space="preserve">recorded a</w:t>
      </w:r>
      <w:r>
        <w:t xml:space="preserve"> </w:t>
      </w:r>
      <w:r>
        <w:rPr>
          <w:rStyle w:val="VerbatimChar"/>
        </w:rPr>
        <w:t xml:space="preserve">docs/qa/...</w:t>
      </w:r>
      <w:r>
        <w:t xml:space="preserve"> </w:t>
      </w:r>
      <w:r>
        <w:t xml:space="preserve">path that was never populated. An earlier pass</w:t>
      </w:r>
      <w:r>
        <w:t xml:space="preserve"> </w:t>
      </w:r>
      <w:r>
        <w:t xml:space="preserve">concluded these files</w:t>
      </w:r>
      <w:r>
        <w:t xml:space="preserve"> </w:t>
      </w:r>
      <w:r>
        <w:t xml:space="preserve">“never existed”</w:t>
      </w:r>
      <w:r>
        <w:t xml:space="preserve"> </w:t>
      </w:r>
      <w:r>
        <w:t xml:space="preserve">because it searched the recorded (wrong)</w:t>
      </w:r>
      <w:r>
        <w:t xml:space="preserve"> </w:t>
      </w:r>
      <w:r>
        <w:t xml:space="preserve">full path instead of the basename across full history.</w:t>
      </w:r>
    </w:p>
    <w:p>
      <w:pPr>
        <w:pStyle w:val="Compact"/>
        <w:numPr>
          <w:ilvl w:val="0"/>
          <w:numId w:val="1002"/>
        </w:numPr>
      </w:pPr>
      <w:r>
        <w:rPr>
          <w:b/>
          <w:bCs/>
        </w:rPr>
        <w:t xml:space="preserve">7 rows</w:t>
      </w:r>
      <w:r>
        <w:t xml:space="preserve"> </w:t>
      </w:r>
      <w:r>
        <w:t xml:space="preserve">(HXC-158, 161, 165, 167, 182, 184, 203) held</w:t>
      </w:r>
      <w:r>
        <w:t xml:space="preserve"> </w:t>
      </w:r>
      <w:r>
        <w:rPr>
          <w:b/>
          <w:bCs/>
        </w:rPr>
        <w:t xml:space="preserve">narrative in the</w:t>
      </w:r>
      <w:r>
        <w:rPr>
          <w:b/>
          <w:bCs/>
        </w:rPr>
        <w:t xml:space="preserve"> </w:t>
      </w:r>
      <w:r>
        <w:rPr>
          <w:b/>
          <w:bCs/>
        </w:rPr>
        <w:t xml:space="preserve">path field</w:t>
      </w:r>
      <w:r>
        <w:t xml:space="preserve">; every referent proved producible and has been repointed.</w:t>
      </w:r>
    </w:p>
    <w:p>
      <w:pPr>
        <w:pStyle w:val="Compact"/>
        <w:numPr>
          <w:ilvl w:val="0"/>
          <w:numId w:val="1002"/>
        </w:numPr>
      </w:pPr>
      <w:r>
        <w:rPr>
          <w:b/>
          <w:bCs/>
        </w:rPr>
        <w:t xml:space="preserve">1 row</w:t>
      </w:r>
      <w:r>
        <w:t xml:space="preserve"> </w:t>
      </w:r>
      <w:r>
        <w:t xml:space="preserve">(HXC-187) had</w:t>
      </w:r>
      <w:r>
        <w:t xml:space="preserve"> </w:t>
      </w:r>
      <w:r>
        <w:rPr>
          <w:b/>
          <w:bCs/>
        </w:rPr>
        <w:t xml:space="preserve">no producible artefact at all</w:t>
      </w:r>
      <w:r>
        <w:t xml:space="preserve"> </w:t>
      </w:r>
      <w:r>
        <w:t xml:space="preserve">— commit references</w:t>
      </w:r>
      <w:r>
        <w:t xml:space="preserve"> </w:t>
      </w:r>
      <w:r>
        <w:t xml:space="preserve">only. Reopened separately under §11.4.34.</w:t>
      </w:r>
    </w:p>
    <w:bookmarkEnd w:id="37"/>
    <w:bookmarkStart w:id="38" w:name="closure-criteria"/>
    <w:p>
      <w:pPr>
        <w:pStyle w:val="Heading3"/>
      </w:pPr>
      <w:r>
        <w:t xml:space="preserve">Closure criteria</w:t>
      </w:r>
    </w:p>
    <w:p>
      <w:pPr>
        <w:pStyle w:val="Compact"/>
        <w:numPr>
          <w:ilvl w:val="0"/>
          <w:numId w:val="1003"/>
        </w:numPr>
      </w:pPr>
      <w:r>
        <w:rPr>
          <w:rStyle w:val="VerbatimChar"/>
        </w:rPr>
        <w:t xml:space="preserve">workable-items validate</w:t>
      </w:r>
      <w:r>
        <w:t xml:space="preserve"> </w:t>
      </w:r>
      <w:r>
        <w:t xml:space="preserve">refuses a closure whose</w:t>
      </w:r>
      <w:r>
        <w:t xml:space="preserve"> </w:t>
      </w:r>
      <w:r>
        <w:rPr>
          <w:rStyle w:val="VerbatimChar"/>
        </w:rPr>
        <w:t xml:space="preserve">evidence_path</w:t>
      </w:r>
      <w:r>
        <w:t xml:space="preserve"> </w:t>
      </w:r>
      <w:r>
        <w:t xml:space="preserve">does not</w:t>
      </w:r>
      <w:r>
        <w:t xml:space="preserve"> </w:t>
      </w:r>
      <w:r>
        <w:t xml:space="preserve">resolve, scoped to genuine closure events so it cannot false-positive on</w:t>
      </w:r>
      <w:r>
        <w:t xml:space="preserve"> </w:t>
      </w:r>
      <w:r>
        <w:t xml:space="preserve">progress notes.</w:t>
      </w:r>
    </w:p>
    <w:p>
      <w:pPr>
        <w:pStyle w:val="Compact"/>
        <w:numPr>
          <w:ilvl w:val="0"/>
          <w:numId w:val="1003"/>
        </w:numPr>
      </w:pPr>
      <w:r>
        <w:t xml:space="preserve">A paired §1.1 mutation proves the guard is not a tautology.</w:t>
      </w:r>
    </w:p>
    <w:p>
      <w:pPr>
        <w:pStyle w:val="Compact"/>
        <w:numPr>
          <w:ilvl w:val="0"/>
          <w:numId w:val="1003"/>
        </w:numPr>
      </w:pPr>
      <w:r>
        <w:t xml:space="preserve">The population query distinguishes closure events from historical updates.</w:t>
      </w:r>
      <w:r>
        <w:t xml:space="preserve"> </w:t>
      </w:r>
      <w:r>
        <w:t xml:space="preserve">## HXC-226 — The copy of the agent project we actually pull from reports no vulnerabilities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(independently verified via GitHub GraphQL: vasic-digital/HelixAgent=210 open alerts, HelixDevelopment/HelixAgent (our submodule’s own configured origin per .gitmodules)=0, identical commits; a monitoring blind spot on the copy we actually consume, not a live production vulnerability, since HXC-166’s independent triage found 0 of 210 reachable-and-unmitigated in any shipped artifact today; not Low because a future genuinely dangerous CVE would land completely unnoticed on the consumed mirror until this is fixed, and any current zero-findings claim about this component is unfalsifiable)</w:t>
      </w:r>
    </w:p>
    <w:p>
      <w:pPr>
        <w:pStyle w:val="BodyTex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bookmarkEnd w:id="38"/>
    <w:bookmarkEnd w:id="39"/>
    <w:bookmarkStart w:id="40" w:name="Xad67c696457e336b91d23b8c3ca41e4ab207738"/>
    <w:p>
      <w:pPr>
        <w:pStyle w:val="Heading2"/>
      </w:pPr>
      <w:r>
        <w:t xml:space="preserve">HXC-227 — A working access key for an external service is published in a design document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bookmarkEnd w:id="40"/>
    <w:bookmarkStart w:id="41" w:name="X8d5e86fcd26c96e0dc1c11c391a7516aef2382e"/>
    <w:p>
      <w:pPr>
        <w:pStyle w:val="Heading2"/>
      </w:pPr>
      <w:r>
        <w:t xml:space="preserve">HXC-229 — The gateway service runs in development mode when started as a production service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bookmarkEnd w:id="41"/>
    <w:bookmarkStart w:id="42" w:name="X584d0ca3b7a5fbf56dfb011389687bfc4ee931a"/>
    <w:p>
      <w:pPr>
        <w:pStyle w:val="Heading2"/>
      </w:pPr>
      <w:r>
        <w:t xml:space="preserve">HXC-231 — HelixLLM gateway reports itself as running for over half an hour while refusing all connections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bookmarkEnd w:id="42"/>
    <w:bookmarkStart w:id="43" w:name="X57aa60cd59f4ad6a14266b37b247b9d296fd55d"/>
    <w:p>
      <w:pPr>
        <w:pStyle w:val="Heading2"/>
      </w:pPr>
      <w:r>
        <w:t xml:space="preserve">HXC-232 — Two database tables the software expects are missing, so HelixAgent logs an error every minute forever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bookmarkEnd w:id="43"/>
    <w:bookmarkStart w:id="44" w:name="X8dc29c55a82a8a88f26c5013cff72773b4c8ec8"/>
    <w:p>
      <w:pPr>
        <w:pStyle w:val="Heading2"/>
      </w:pPr>
      <w:r>
        <w:t xml:space="preserve">HXC-233 — The gateway cannot start its built-in local model server because the program is not on its search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the HelixLLM gateway starts it tries to launch a bundled local model server program called llama-server, and fails immediately because that program cannot be found on the search path the service is given. The gateway records this as a warning and carries on without it, so nothing appears to be broken, but the local model serving feature it was meant to provide is simply absent for the whole life of the service. This matters because the gateway had just spent thirty-seven minutes downloading a model file specifically so that this server could serve it; the download succeeded and the model file is on disk, but nothing can use it. Observed live on 2026-08-06 during a full platform boot. The likely fix is to give the service an explicit path to the program in its startup configuration rather than relying on the search path, which is much shorter for a background service than for a person typing at a terminal.</w:t>
      </w:r>
    </w:p>
    <w:bookmarkEnd w:id="44"/>
    <w:bookmarkStart w:id="45" w:name="X58650d51f8415dc5461076ac954c261235b0727"/>
    <w:p>
      <w:pPr>
        <w:pStyle w:val="Heading2"/>
      </w:pPr>
      <w:r>
        <w:t xml:space="preserve">HXC-234 — HelixAgent’s plug-in tool servers fail to build on startup and never become available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bookmarkEnd w:id="45"/>
    <w:bookmarkStart w:id="46" w:name="X5c72c7a8e6112909e3db0bfcd16f2f2e40265f3"/>
    <w:p>
      <w:pPr>
        <w:pStyle w:val="Heading2"/>
      </w:pPr>
      <w:r>
        <w:t xml:space="preserve">HXC-235 — Search-by-meaning quietly falls back to a method that cannot understand meaning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bookmarkEnd w:id="46"/>
    <w:bookmarkStart w:id="47" w:name="X7f63ad011fdde06da94a7d362a00e2f80055e42"/>
    <w:p>
      <w:pPr>
        <w:pStyle w:val="Heading2"/>
      </w:pPr>
      <w:r>
        <w:t xml:space="preserve">HXC-236 — Address parsing behaves differently in two parts of the codebase, and will change silently on a version bump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bookmarkEnd w:id="47"/>
    <w:bookmarkStart w:id="48" w:name="X32756fb00013fe24f64040b655c0572b2b0ea2d"/>
    <w:p>
      <w:pPr>
        <w:pStyle w:val="Heading2"/>
      </w:pPr>
      <w:r>
        <w:t xml:space="preserve">HXC-238 — Captured proof files are trusted as harmless because of their name, not because anything stops them running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bookmarkEnd w:id="48"/>
    <w:bookmarkStart w:id="49" w:name="X2fb967fdaca4a7a76a5d90cd197594d3a7c7707"/>
    <w:p>
      <w:pPr>
        <w:pStyle w:val="Heading2"/>
      </w:pPr>
      <w:r>
        <w:t xml:space="preserve">HXC-239 — HelixQA http runner defaults to the wrong login token field, so every authenticated test bank fails to log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bookmarkEnd w:id="49"/>
    <w:bookmarkStart w:id="50" w:name="X0601d386d97dd7ed081e5fb1aa9a7866b2be316"/>
    <w:p>
      <w:pPr>
        <w:pStyle w:val="Heading2"/>
      </w:pPr>
      <w:r>
        <w:t xml:space="preserve">HXC-240 — The generate-e2e test bank can only ever be run once because it registers a fixed user name that then already exists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bookmarkEnd w:id="50"/>
    <w:bookmarkStart w:id="51" w:name="X3511f8d31ec95a2e6c782c4aba6630544414a29"/>
    <w:p>
      <w:pPr>
        <w:pStyle w:val="Heading2"/>
      </w:pPr>
      <w:r>
        <w:t xml:space="preserve">HXC-241 — Test bank reports a fully working AI text-generation feature as broken because it matches wording with the wrong capital letters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bookmarkEnd w:id="51"/>
    <w:bookmarkStart w:id="52" w:name="X23cb89f55ae6a4b22fa104229c4f4205ce8d052"/>
    <w:p>
      <w:pPr>
        <w:pStyle w:val="Heading2"/>
      </w:pPr>
      <w:r>
        <w:t xml:space="preserve">HXC-242 — Screenshot and QA-session features are switched off in the running deployment so five checks cannot be exercised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bookmarkEnd w:id="52"/>
    <w:bookmarkStart w:id="53" w:name="X71943dd00c7e66011f08de0854a2592d96a3134"/>
    <w:p>
      <w:pPr>
        <w:pStyle w:val="Heading2"/>
      </w:pPr>
      <w:r>
        <w:t xml:space="preserve">HXC-243 — Some of our own test suites cannot fail, so their passes mean nothing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bookmarkEnd w:id="53"/>
    <w:bookmarkStart w:id="54" w:name="Xd0d318135f901844a89db67838e975b60221edd"/>
    <w:p>
      <w:pPr>
        <w:pStyle w:val="Heading2"/>
      </w:pPr>
      <w:r>
        <w:t xml:space="preserve">HXC-245 — Regenerating the tracker documents from the database silently destroys the blocked-item explanations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When the workable-items tool regenerates the human-readable tracker documents from the database and then reads them back, the explanations attached to blocked items are lost. Measured on 2026-08-08: the database holds five such explanation records; after one regenerate-and-reread cycle only one survives, so four are destroyed. The cause is that the document generator never writes these explanations into the document in the first place, so when the document is read back there is nothing to restore from. This matters because those explanations are the entire reason a blocked item is actionable — they record what is blocked, what was already tried, and exactly which decision would unblock it. Losing them turns a tracked decision waiting on a person into an item nobody can act on, and it happens silently, with no warning and no error. It also breaks the guarantee that the database and the documents are two faithful views of the same data, which is the foundation the whole tracking system rests on. Anyone maintaining the project benefits: the operator keeps the context needed to make blocking decisions, and future contributors can see why an item stalled. The expected outcome is that a regenerate-and-reread cycle preserves all five explanation records, proven by a test that fails today and passes after the fix.</w:t>
      </w:r>
    </w:p>
    <w:bookmarkEnd w:id="54"/>
    <w:bookmarkStart w:id="55" w:name="Xe5157562363426514f25565d0af6e61d3a4f22d"/>
    <w:p>
      <w:pPr>
        <w:pStyle w:val="Heading2"/>
      </w:pPr>
      <w:r>
        <w:t xml:space="preserve">HXC-246 — The agent runtime’s automated test suite reports 74 failures, and most look like the tests, not the product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bookmarkEnd w:id="55"/>
    <w:bookmarkStart w:id="56" w:name="Xe3da0fee3e6a8425b88a4a9c98d6f8516574b24"/>
    <w:p>
      <w:pPr>
        <w:pStyle w:val="Heading2"/>
      </w:pPr>
      <w:r>
        <w:t xml:space="preserve">HXC-247 — Two services both claim network port 8100, so 82 test files test the wrong program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w:t>
      </w:r>
      <w:r>
        <w:t xml:space="preserve"> </w:t>
      </w:r>
      <w:r>
        <w:t xml:space="preserve">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bookmarkEnd w:id="56"/>
    <w:bookmarkStart w:id="57" w:name="X1b6e1c21e3160546391a8a1f934ee845ef18439"/>
    <w:p>
      <w:pPr>
        <w:pStyle w:val="Heading2"/>
      </w:pPr>
      <w:r>
        <w:t xml:space="preserve">HXC-248 — Test cleanup can shut down the live platform; only a coincidence prevents it today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r>
        <w:t xml:space="preserve"> </w:t>
      </w:r>
      <w:r>
        <w:t xml:space="preserve">## HXC-250 — Generated assistant configs send users to the wrong service, so 46 of 48 assistants get a not-found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bookmarkEnd w:id="57"/>
    <w:bookmarkStart w:id="58" w:name="Xaecbdd2121efff39a418c081189715000a272b3"/>
    <w:p>
      <w:pPr>
        <w:pStyle w:val="Heading2"/>
      </w:pPr>
      <w:r>
        <w:t xml:space="preserve">HXC-251 — Our own gRPC service could not start while our own platform was running, and its log still names the old address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bookmarkEnd w:id="58"/>
    <w:bookmarkStart w:id="59" w:name="Xd83bab4ccadbd6cf8a4a7a0467615b5e29d645d"/>
    <w:p>
      <w:pPr>
        <w:pStyle w:val="Heading2"/>
      </w:pPr>
      <w:r>
        <w:t xml:space="preserve">HXC-254 — Connector tests share one network handler, so shutting down one test server breaks other running tests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bookmarkEnd w:id="59"/>
    <w:bookmarkStart w:id="60" w:name="X5976c6375778ebb36307b3a248e0bdbff209faa"/>
    <w:p>
      <w:pPr>
        <w:pStyle w:val="Heading2"/>
      </w:pPr>
      <w:r>
        <w:t xml:space="preserve">HXC-255 — Validation runners show green on file existence and never fail the run, which needs an operator 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bookmarkEnd w:id="60"/>
    <w:bookmarkStart w:id="61" w:name="Xc259d50462c3b5c12956e49b472fbce77c97640"/>
    <w:p>
      <w:pPr>
        <w:pStyle w:val="Heading2"/>
      </w:pPr>
      <w:r>
        <w:t xml:space="preserve">HXC-256 — Regenerating the tracker documents without naming a destination writes an untracked copy and leaves the real ones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bookmarkEnd w:id="61"/>
    <w:bookmarkStart w:id="62" w:name="X353f01037365a461e83d02573a1b6dd89a7a536"/>
    <w:p>
      <w:pPr>
        <w:pStyle w:val="Heading2"/>
      </w:pPr>
      <w:r>
        <w:t xml:space="preserve">HXC-257 — The tracker consistency check calls its input the committed database but never reads version control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bookmarkEnd w:id="62"/>
    <w:bookmarkStart w:id="63" w:name="X9708585f07f267c02a07955595978f0abbe71b8"/>
    <w:p>
      <w:pPr>
        <w:pStyle w:val="Heading2"/>
      </w:pPr>
      <w:r>
        <w:t xml:space="preserve">HXC-258 — The tracker database records only one sync direction, so it always reports the wrong one after documents are regenerated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bookmarkEnd w:id="63"/>
    <w:bookmarkStart w:id="64" w:name="Xe3da6c5409e369db0fb035df2f01fe2358b1b13"/>
    <w:p>
      <w:pPr>
        <w:pStyle w:val="Heading2"/>
      </w:pPr>
      <w:r>
        <w:t xml:space="preserve">HXC-259 — Most closed tracker records carry no history of who closed them or when, and the gap is far wider than two items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bookmarkEnd w:id="64"/>
    <w:bookmarkStart w:id="65" w:name="X7272135738f9d2958723c8f401e6acaf0b08edb"/>
    <w:p>
      <w:pPr>
        <w:pStyle w:val="Heading2"/>
      </w:pPr>
      <w:r>
        <w:t xml:space="preserve">HXC-260 — HXC-260: HelixAgent k8s manifests published a dead GRPC_PORT env var and port 9090, so the declared gRPC endpoint could never be 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Kubernetes manifests for HelixAgent told everyone that the gRPC service lives on port 9090, and they set an environment variable called GRPC_PORT to make it so. Neither half was true. No Go source in the repository reads GRPC_PORT, so setting it could never move the port the server listens on; this was proven at runtime, where GRPC_PORT=36999 still bound :8112 while the real variable HELIXAGENT_PORT_GRPC=36999 bound :36999. And 9090 is a port no HelixAgent process ever binds: the gRPC server resolves its port from the internal/ports registry (HelixAgentGRPC, core band offset 112), which is 8112 — confirmed by running the built cmd/grpc-server binary and observing its LISTEN socket on *:8112. The practical effect is that anyone deploying HelixAgent to Kubernetes from these manifests would get a Deployment exposing containerPort 9090, a Service forwarding gRPC traffic to targetPort 9090, and a NetworkPolicy admitting traffic on 9090 — three artifacts agreeing with each other and all pointing at a port nothing listens on, while the port the server would actually bind was blocked. The damage is worse than a wrong number because the manifest LOOKED configurable: an operator who noticed the problem and edited GRPC_PORT would see no change whatsoever, defeating their own debugging. This item covers correcting all four manifests that name the port (deployment.yaml, service.yaml, networkpolicy.yaml, configmap.yaml) onto the registry port and replacing the dead variable with the one the server honours. It also records the honest remaining limitation: the image this Deployment runs is built from cmd/helixagent, which contains no gRPC server at all (that is a separate binary, cmd/grpc-server), so the endpoint is now correct but INERT until a grpc-server container is added to the pod — a follow-up that the corrected manifests make a one-line change instead of a re-derivation. Reproduce by checking out the pre-fix tree and running the polarity test in internal/ports with RED_MODE=1, which asserts the dead variable and containerPort 9090 are present. Acceptance criteria: internal/ports/published_grpc_port_test.go passes with RED_MODE unset (asserting every manifest names the registry port and none sets the dead variable outside a comment) and fails on the pre-fix tree, citing deployment.yaml line 32.</w:t>
      </w:r>
    </w:p>
    <w:bookmarkEnd w:id="65"/>
    <w:bookmarkStart w:id="66" w:name="X8979d96a314725db1450c83ab1d728ed16cabc1"/>
    <w:p>
      <w:pPr>
        <w:pStyle w:val="Heading2"/>
      </w:pPr>
      <w:r>
        <w:t xml:space="preserve">HXC-261 — HXC-261: the gRPC protocol challenge recorded success on every branch and probed a port nobody binds, certifying gRPC healthy without ever contacting a gRPC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challenge script that is supposed to prove HelixAgent’s gRPC protocol works was structurally incapable of failing, and it has been reporting green for the entire time it has existed. Two independent faults compounded. First, it resolved its port from an environment variable named HELIXAGENT_GRPC_PORT defaulting to 7062 — a third spelling that no Go source reads (the server honours HELIXAGENT_PORT_GRPC) and a number belonging to no service in the project: not the old hardcoded 50051, not the registry’s 8112, not the HTTP port 7061. Second, and far worse, every one of its four probes recorded a successful assertion whether the port answered or not: the port-availability check recorded true when the port was listening AND recorded true, labelled</w:t>
      </w:r>
      <w:r>
        <w:t xml:space="preserve"> </w:t>
      </w:r>
      <w:r>
        <w:t xml:space="preserve">‘optional’</w:t>
      </w:r>
      <w:r>
        <w:t xml:space="preserve">, when it was not; the unary-call, streaming-call and error-handling checks did the same. The two faults together mean the challenge dialled an address no HelixAgent process has ever bound, found nothing there, and then certified the gRPC protocol healthy. This is the most damaging class of defect in the codebase because it is not merely an untested feature — it is an automated test actively producing false-green results, which is exactly what the anti-bluff covenant exists to prevent, and it masks any real gRPC breakage from everyone reading the suite. It also violated the challenge framework’s own documented contract: the framework already ships a record_skip helper whose docstring says never to use record_assertion with status true to mask a missing feature, and the primitive was simply not used. This item covers resolving the port through the registry’s own variable name and default, consolidating the four duplicated probe sites into one helper so absence is interpreted in exactly one place, making absence report as an honest SKIP carrying a SKIP-OK ticket rather than success, making a real failed call report as FAILED, and replacing the two-state final verdict (which reported PASSED whenever nothing had failed, including when nothing had been verified) with a three-state verdict that reports SKIPPED when no assertion could be verified. Reproduce with the guard at challenges/scripts/tests/protocol_grpc_fail_open_guard.sh run with RED_MODE=1 against the pre-fix script: it binds and releases a port to prove it is free, drives the challenge’s own probe functions against it, and confirms assertions are recorded PASSED anyway. Acceptance criteria: that same guard with RED_MODE=0 reports zero PASSED assertions against a proven-free port with every probe SKIPPED and SKIP-OK tagged, and the challenge still records a genuine PASSED assertion when a real gRPC server is listening on the registry port.</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2026-08-10T21:30:57Z</dcterms:created>
  <dcterms:modified xsi:type="dcterms:W3CDTF">2026-08-10T21:30:57Z</dcterms:modified>
</cp:coreProperties>
</file>

<file path=docProps/custom.xml><?xml version="1.0" encoding="utf-8"?>
<Properties xmlns="http://schemas.openxmlformats.org/officeDocument/2006/custom-properties" xmlns:vt="http://schemas.openxmlformats.org/officeDocument/2006/docPropsVTypes"/>
</file>