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Operator-blocked</w:t>
            </w:r>
          </w:p>
        </w:tc>
        <w:tc>
          <w:tcPr/>
          <w:p>
            <w:pPr>
              <w:pStyle w:val="Compact"/>
            </w:pPr>
            <w:r>
              <w:t xml:space="preserve">1</w:t>
            </w:r>
          </w:p>
        </w:tc>
      </w:tr>
      <w:tr>
        <w:tc>
          <w:tcPr/>
          <w:p>
            <w:pPr>
              <w:pStyle w:val="Compact"/>
            </w:pPr>
            <w:r>
              <w:t xml:space="preserve">Bug</w:t>
            </w:r>
          </w:p>
        </w:tc>
        <w:tc>
          <w:tcPr/>
          <w:p>
            <w:pPr>
              <w:pStyle w:val="Compact"/>
            </w:pPr>
            <w:r>
              <w:t xml:space="preserve">Queued</w:t>
            </w:r>
          </w:p>
        </w:tc>
        <w:tc>
          <w:tcPr/>
          <w:p>
            <w:pPr>
              <w:pStyle w:val="Compact"/>
            </w:pPr>
            <w:r>
              <w:t xml:space="preserve">41</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13</w:t>
            </w:r>
          </w:p>
        </w:tc>
      </w:tr>
      <w:tr>
        <w:tc>
          <w:tcPr/>
          <w:p>
            <w:pPr>
              <w:pStyle w:val="Compact"/>
            </w:pPr>
            <w:r>
              <w:rPr>
                <w:b/>
                <w:bCs/>
              </w:rPr>
              <w:t xml:space="preserve">TOTAL</w:t>
            </w:r>
          </w:p>
        </w:tc>
        <w:tc>
          <w:tcPr/>
          <w:p>
            <w:pPr>
              <w:pStyle w:val="Compact"/>
            </w:pPr>
          </w:p>
        </w:tc>
        <w:tc>
          <w:tcPr/>
          <w:p>
            <w:pPr>
              <w:pStyle w:val="Compact"/>
            </w:pPr>
            <w:r>
              <w:rPr>
                <w:b/>
                <w:bCs/>
              </w:rPr>
              <w:t xml:space="preserve">56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When publishing the agent component, the hosting provider reported a large number of outstanding security advisories against the libraries it depends on, originally recorded as 204. That figure turns out to be unreliable in three separate ways, all now measured. It drifts upward on its own as new advisories are published — 204 when the item was filed, 205 the next day, and 210 on a live re-query on 2026-08-06 — so no fixed number can ever be</w:t>
            </w:r>
            <w:r>
              <w:t xml:space="preserve"> </w:t>
            </w:r>
            <w:r>
              <w:t xml:space="preserve">“the”</w:t>
            </w:r>
            <w:r>
              <w:t xml:space="preserve"> </w:t>
            </w:r>
            <w:r>
              <w:t xml:space="preserve">count. It over-states the work by about a fifth, because the same advisory is counted once for every dependency file it appears in: 210 rows collapse to 169 genuinely distinct advisories, and the five criticals collapse to four. And it comes from only one of the two places this code is published; the other copy reports zero, because advisory scanning was never switched on there. The recorded breakdown was also wrong: the real split is 5 critical, 88 high, 99 moderate and 18 low. A full reachability triage has now been completed, and it changes the picture substantially. An advisory only endangers a user if the affected code can actually be reached in something we ship, and on that test none of them currently qualify. The Go vulnerability scanner, run from the seven binaries we actually release, reports our code is affected by zero vulnerabilities; a handful of findings against a container library are reachable only from one internal package that nothing else in the codebase refers to and that never enters a released binary at all. Seven in ten of the remaining alerts, including three of the four critical ones, belong to a single copied-in third-party project whose container definition points at a build file that does not exist, so it cannot start today. Most of the rest belong to a browser toolkit that no release process ever builds. Exactly one alert touches a component that genuinely ships and runs, and the defence that advisory asks for has already been written and tested in our own code; the alert stays open only because the dependency version label was not bumped to match. A related piece of housekeeping was resolved while this triage was running: roughly 8,900 files of downloaded third-party library code, including the vulnerable template library behind one critical advisory, had been committed into the repository, and have now been removed from the tracked files, though they remain in the project history. The practical benefit of finishing this work is that the alarming published number stops misrepresenting the product, and we regain the ability to say honestly, with evidence, that nothing we ship carries a reachable known vulnerability. This item stays open because the third part of its acceptance criterion has not been done: the dependencies behind the critical and high findings have not yet been upgraded or removed, and the decision on whether to repair or retire the copied-in project that carries most of them is an operator call.</w:t>
            </w:r>
          </w:p>
        </w:tc>
      </w:tr>
      <w:tr>
        <w:tc>
          <w:tcPr/>
          <w:p>
            <w:pPr>
              <w:pStyle w:val="Compact"/>
            </w:pPr>
            <w:r>
              <w:t xml:space="preserve">HXC-168</w:t>
            </w:r>
          </w:p>
        </w:tc>
        <w:tc>
          <w:tcPr/>
          <w:p>
            <w:pPr>
              <w:pStyle w:val="Compact"/>
            </w:pPr>
            <w:r>
              <w:t xml:space="preserve">Bug</w:t>
            </w:r>
          </w:p>
        </w:tc>
        <w:tc>
          <w:tcPr/>
          <w:p>
            <w:pPr>
              <w:pStyle w:val="Compact"/>
            </w:pPr>
            <w:r>
              <w:t xml:space="preserve">Operator-blocked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HXC-216</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tc>
      </w:tr>
      <w:tr>
        <w:tc>
          <w:tcPr/>
          <w:p>
            <w:pPr>
              <w:pStyle w:val="Compact"/>
            </w:pPr>
            <w:r>
              <w:t xml:space="preserve">HXC-219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tc>
      </w:tr>
      <w:tr>
        <w:tc>
          <w:tcPr/>
          <w:p>
            <w:pPr>
              <w:pStyle w:val="Compact"/>
            </w:pPr>
            <w:r>
              <w:t xml:space="preserve">HXC-224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tc>
      </w:tr>
      <w:tr>
        <w:tc>
          <w:tcPr/>
          <w:p>
            <w:pPr>
              <w:pStyle w:val="Compact"/>
            </w:pPr>
            <w:r>
              <w:t xml:space="preserve">HXC-225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tc>
      </w:tr>
      <w:tr>
        <w:tc>
          <w:tcPr/>
          <w:p>
            <w:pPr>
              <w:pStyle w:val="Compact"/>
            </w:pPr>
            <w:r>
              <w:t xml:space="preserve">HXC-226</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tc>
      </w:tr>
      <w:tr>
        <w:tc>
          <w:tcPr/>
          <w:p>
            <w:pPr>
              <w:pStyle w:val="Compact"/>
            </w:pPr>
            <w:r>
              <w:t xml:space="preserve">HXC-227</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A design document committed forty-eight days ago contains, in its API-keys section, what appears to be a genuine access key for an external model provider rather than a placeholder. The section is headed as being copied from the machine’s own credentials file and described as already configured, and the value carries none of the markers a placeholder would have: it is fifty-one characters long, uses twenty-nine distinct characters, and contains no example or to-be-filled wording. The document is tracked on the main branch and has therefore been published to all four hosting mirrors since the day it was written. Anyone with read access to any mirror, and anyone holding a clone or fork made at any point in those forty-eight days, already has the value. Deleting the line now would remove it from the current revision only; the history retains it, rewriting that history is forbidden, and rewriting would in any case not reach copies already distributed. The only action that actually withdraws the key is revoking it at the provider and issuing a replacement, which requires access to the provider account and cannot be done from within the repository. Until that happens the key must be assumed compromised. Once revoked, the document should be edited to reference the credentials file by name instead of quoting its contents, and a check added that refuses any commit introducing a value of this shape.</w:t>
            </w:r>
          </w:p>
        </w:tc>
      </w:tr>
      <w:tr>
        <w:tc>
          <w:tcPr/>
          <w:p>
            <w:pPr>
              <w:pStyle w:val="Compact"/>
            </w:pPr>
            <w:r>
              <w:t xml:space="preserve">HXC-229</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multi-provider routing gateway starts in its web framework’s debug mode rather than release mode, and says so in its own startup log alongside the framework’s warning that this should be switched for production use. Debug mode is not a cosmetic difference: it prints every registered route at startup, produces far more verbose logging on every request, and in this framework is documented as unsuitable for production because of the extra output and the internal detail it exposes in error responses. The service is being launched by the system supervisor as a long-running background service, which is exactly the production case the warning is about. Nothing is broken in the sense of requests failing, which is why this has gone unnoticed, but a production deployment is currently logging at development verbosity and revealing more internal structure than it should. The framework offers two ways to correct it, an environment variable or a call in the startup code, and the service unit is the natural place to set the former. The fix is to select release mode when the service runs under the supervisor, and to add a check that fails if a production unit ever starts in debug mode again.</w:t>
            </w:r>
          </w:p>
        </w:tc>
      </w:tr>
      <w:tr>
        <w:tc>
          <w:tcPr/>
          <w:p>
            <w:pPr>
              <w:pStyle w:val="Compact"/>
            </w:pPr>
            <w:r>
              <w:t xml:space="preserve">HXC-231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downloads large AI model files from an external website before it starts accepting network connections. During that download the operating system reports the service as running and healthy, but every attempt to reach it fails outright. Measured on 2026-08-06 this window lasted thirty-seven minutes from service start until the service actually began listening. Anyone checking the service status during that period is told everything is fine while the service is in fact unusable, and any other component that depends on the gateway will fail for the whole window. The problem is made worse because the download depends on an external site being reachable and fast: on this run one of the two downloads timed out after roughly thirty minutes and was abandoned. If that site were unreachable the gateway might never start listening at all. The fix is to start accepting connections first and download models in the background, and to report an honest not-ready state while the downloads are still in progress.</w:t>
            </w:r>
          </w:p>
        </w:tc>
      </w:tr>
      <w:tr>
        <w:tc>
          <w:tcPr/>
          <w:p>
            <w:pPr>
              <w:pStyle w:val="Compact"/>
            </w:pPr>
            <w:r>
              <w:t xml:space="preserve">HXC-232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HelixAgent expects two tables to exist in its database, named distributed_locks and agent_instances, but neither of them has ever been created. There is no setup script anywhere in the project that creates them. As a result HelixAgent tries to tidy up expired locks once every minute, the database refuses the request because the table does not exist, and an error is written to the log. Verified on 2026-08-06 by checking all three databases directly: neither table exists in any of them, and the error appeared sixty times in a sixty-minute period plus a further hundred and thirty times during the boot test. The service otherwise runs normally, so nothing visibly breaks, but the constant stream of errors buries genuine problems in the log and means the locking feature these tables were meant to support is silently doing nothing at all. Fixing this needs someone who knows what these tables were intended to contain to write the setup script; the columns must not be guessed.</w:t>
            </w:r>
          </w:p>
        </w:tc>
      </w:tr>
      <w:tr>
        <w:tc>
          <w:tcPr/>
          <w:p>
            <w:pPr>
              <w:pStyle w:val="Compact"/>
            </w:pPr>
            <w:r>
              <w:t xml:space="preserve">HXC-233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the HelixLLM gateway starts it tries to launch a bundled local model server program called llama-server and fails because the program cannot be found. Searching the machine confirms the situation is worse than a misconfigured search path: no file called llama-server exists anywhere on the host, so this is not something that can be fixed by pointing the service at the right directory. The gateway records the failure as a warning and carries on without it, so nothing appears broken, but the local model serving feature is absent for the entire life of the service. This is particularly wasteful because the gateway had just spent thirty-seven minutes downloading a large model file specifically so this server could serve it; the download succeeded and the file sits on disk unused. Observed live on 2026-08-06 during a full platform boot. Fixing this requires actually obtaining and installing the program, then making sure the service can find it; it also raises the question of whether the gateway should be downloading models at all when the program that would consume them is not present.</w:t>
            </w:r>
          </w:p>
        </w:tc>
      </w:tr>
      <w:tr>
        <w:tc>
          <w:tcPr/>
          <w:p>
            <w:pPr>
              <w:pStyle w:val="Compact"/>
            </w:pPr>
            <w:r>
              <w:t xml:space="preserve">HXC-234</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 startup HelixAgent tries to build and launch a set of optional plug-in tool servers, known as MCP servers, using the container engine. The build fails: two of the packages inside the container fail during their dependency-install and compile step and the whole operation is abandoned. HelixAgent records a warning saying it failed to start some of these servers and then continues running normally, so the platform looks healthy and nothing obviously breaks. The real effect is that every capability those plug-in servers were meant to provide is silently missing, and because the failure is only a warning it is easy for nobody to notice. Observed live on 2026-08-06 during a full platform boot, where the build was attempted twice and failed both times after downloading and unpacking a large container image each time, which also makes every startup slower. The fix requires repairing the dependency installation inside those container build files.</w:t>
            </w:r>
          </w:p>
        </w:tc>
      </w:tr>
      <w:tr>
        <w:tc>
          <w:tcPr/>
          <w:p>
            <w:pPr>
              <w:pStyle w:val="Compact"/>
            </w:pPr>
            <w:r>
              <w:t xml:space="preserve">HXC-235</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HelixLLM gateway provides a feature that finds documents by meaning rather than by exact wording. On startup it reports that no real language model is configured for this purpose, so it has fallen back to a simple hashing method. The gateway’s own warning states plainly that this fallback does not capture meaning at all and that retrieval quality will be significantly degraded. The important part is that the feature does not switch itself off or return an error: it keeps answering every request, just with results that are effectively arbitrary rather than relevant. Anyone using it would have no way of telling from the responses that it is not working properly. Observed live on 2026-08-06 during a full platform boot. Resolving this means pointing the relevant configuration setting at a genuine embedding provider, and deciding whether returning meaningless results silently is acceptable behaviour or whether the feature should refuse to answer instead.</w:t>
            </w:r>
          </w:p>
        </w:tc>
      </w:tr>
      <w:tr>
        <w:tc>
          <w:tcPr/>
          <w:p>
            <w:pPr>
              <w:pStyle w:val="Compact"/>
            </w:pPr>
            <w:r>
              <w:t xml:space="preserve">HXC-236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standard library routine that splits a web address into a host and a port behaves differently in two parts of this codebase, using the same compiler and the same input. In the main application it rejects an address whose host is an unbracketed IPv6 literal; in the containers component it quietly accepts the same string and guesses the port from the last colon. The cause is that each component declares which language version it targets, and the newer version tightened this routine; the containers component still declares the older one, so it keeps the older, permissive behaviour. Two consequences follow. First, any reasoning about address handling is only valid for the component it was measured in, which has already caused one incorrect conclusion to be recorded during this work. Second, and more seriously, the day someone raises the containers component to the newer language version, addresses it accepts today will start being rejected, and the failure will appear as unreachable services rather than as anything pointing at the version change. The work is to make the difference explicit rather than incidental: decide deliberately which behaviour each component should have, record that decision where a reader will find it, and add a check that fails if the two drift apart again without anyone noticing.</w:t>
            </w:r>
          </w:p>
        </w:tc>
      </w:tr>
      <w:tr>
        <w:tc>
          <w:tcPr/>
          <w:p>
            <w:pPr>
              <w:pStyle w:val="Compact"/>
            </w:pPr>
            <w:r>
              <w:t xml:space="preserve">HXC-238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safety check that stops half-finished experiments from being committed now makes an exception for captured proof files, which was necessary because those files can never satisfy the old exception rule and so could not be saved at all. The exception is deliberately narrow: the file must sit in the evidence folder, carry one of four harmless file types, be saved as non-runnable, and not begin with the line that marks a file as a program. Together those make the file inert in normal use. What none of them prevent is somebody deliberately pointing a program interpreter at the file and running its contents anyway, which no file property can stop. The practical risk is low, since it requires a deliberate act rather than an accident, and the alternative was leaving the project unable to save the proof it is required to keep. Recording it so the exception is understood as bounded rather than absolute, and so anyone widening it later can see what it never claimed to cover.</w:t>
            </w:r>
          </w:p>
        </w:tc>
      </w:tr>
      <w:tr>
        <w:tc>
          <w:tcPr/>
          <w:p>
            <w:pPr>
              <w:pStyle w:val="Compact"/>
            </w:pPr>
            <w:r>
              <w:t xml:space="preserve">HXC-239</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HelixQA runs a test bank that needs to sign in, it reads the sign-in reply and picks out the wrong piece of it. The HelixCode server answers a successful login with two different values: a real access pass (the field named</w:t>
            </w:r>
            <w:r>
              <w:t xml:space="preserve"> </w:t>
            </w:r>
            <w:r>
              <w:t xml:space="preserve">‘token’</w:t>
            </w:r>
            <w:r>
              <w:t xml:space="preserve">) and a separate bookkeeping reference for the session (the field named</w:t>
            </w:r>
            <w:r>
              <w:t xml:space="preserve"> </w:t>
            </w:r>
            <w:r>
              <w:t xml:space="preserve">‘session_token’</w:t>
            </w:r>
            <w:r>
              <w:t xml:space="preserve">). Only the first one is accepted as proof of identity on later requests. HelixQA is set up out of the box to grab the second one, so it hands the server a value the server does not accept and is turned away with</w:t>
            </w:r>
            <w:r>
              <w:t xml:space="preserve"> </w:t>
            </w:r>
            <w:r>
              <w:t xml:space="preserve">‘Invalid or expired token’</w:t>
            </w:r>
            <w:r>
              <w:t xml:space="preserve">. The effect is that every test that needs to be signed in reports a failure even when the feature it is testing works perfectly. This was measured directly: the worker-management bank scored 6 passed and 4 failed with the built-in setting, and 9 passed and 1 failed when pointed at the correct field, with no change to the server. The reason nobody noticed is that HelixQA’s own internal tests use a pretend server that puts the access pass in the field HelixQA expects, so the mismatch never shows up until it is run against the real product. Anyone reading the results would wrongly conclude that large parts of the product are broken.</w:t>
            </w:r>
          </w:p>
        </w:tc>
      </w:tr>
      <w:tr>
        <w:tc>
          <w:tcPr/>
          <w:p>
            <w:pPr>
              <w:pStyle w:val="Compact"/>
            </w:pPr>
            <w:r>
              <w:t xml:space="preserve">HXC-240</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One of the HelixCode test banks signs up a new account as part of its checks, but it always uses the very same account name,</w:t>
            </w:r>
            <w:r>
              <w:t xml:space="preserve"> </w:t>
            </w:r>
            <w:r>
              <w:t xml:space="preserve">‘hxc_gen_e2e’</w:t>
            </w:r>
            <w:r>
              <w:t xml:space="preserve">. The first time the bank is run the sign-up succeeds and the check passes. Every run after that hits the same account already sitting in the database, the server correctly refuses with</w:t>
            </w:r>
            <w:r>
              <w:t xml:space="preserve"> </w:t>
            </w:r>
            <w:r>
              <w:t xml:space="preserve">‘user already exists’</w:t>
            </w:r>
            <w:r>
              <w:t xml:space="preserve">, and the check is recorded as a failure forever after. This was observed live within a single session: the first run of the bank passed that step, and a second run minutes later failed it, with the account visible in the database timestamped to the moment of the first run. The rules this project works under require that automated checks can be re-run any number of times and give the same answer, cleaning up after themselves. As written this bank breaks that rule and quietly poisons its own results, so a permanent red mark accumulates that has nothing to do with whether the product works. The fix is for the bank to use a fresh unique name each run, or to remove the account it created when it finishes.</w:t>
            </w:r>
          </w:p>
        </w:tc>
      </w:tr>
      <w:tr>
        <w:tc>
          <w:tcPr/>
          <w:p>
            <w:pPr>
              <w:pStyle w:val="Compact"/>
            </w:pPr>
            <w:r>
              <w:t xml:space="preserve">HXC-241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checks that confirm HelixCode can generate AI text look for an exact run of characters inside the server’s reply, and that comparison treats capital and small letters as different. Two checks in the generate-e2e bank ask for wording that the server does produce but with different capitalisation, so they are marked as failures even though the product behaved correctly. The most serious case asks the AI to say hello and then searches the reply for</w:t>
            </w:r>
            <w:r>
              <w:t xml:space="preserve"> </w:t>
            </w:r>
            <w:r>
              <w:t xml:space="preserve">‘hello’</w:t>
            </w:r>
            <w:r>
              <w:t xml:space="preserve"> </w:t>
            </w:r>
            <w:r>
              <w:t xml:space="preserve">in small letters; the AI answered</w:t>
            </w:r>
            <w:r>
              <w:t xml:space="preserve"> </w:t>
            </w:r>
            <w:r>
              <w:t xml:space="preserve">‘Hello’</w:t>
            </w:r>
            <w:r>
              <w:t xml:space="preserve"> </w:t>
            </w:r>
            <w:r>
              <w:t xml:space="preserve">with a capital H, so a genuinely working feature was reported as broken. This was confirmed by hand against the live server: asking it to reply with an invented word returned that exact word back, and asking it what seventeen times three is returned fifty-one, both with believable token counts, which proves real AI generation is running and healthy. A second check searches an error reply for</w:t>
            </w:r>
            <w:r>
              <w:t xml:space="preserve"> </w:t>
            </w:r>
            <w:r>
              <w:t xml:space="preserve">‘authorization’</w:t>
            </w:r>
            <w:r>
              <w:t xml:space="preserve"> </w:t>
            </w:r>
            <w:r>
              <w:t xml:space="preserve">in small letters while the server writes</w:t>
            </w:r>
            <w:r>
              <w:t xml:space="preserve"> </w:t>
            </w:r>
            <w:r>
              <w:t xml:space="preserve">‘Authorization’</w:t>
            </w:r>
            <w:r>
              <w:t xml:space="preserve"> </w:t>
            </w:r>
            <w:r>
              <w:t xml:space="preserve">with a capital A. Expecting exact capitalisation of freely generated AI wording is unreliable by nature. The consequence is false alarms that hide real problems and waste investigation time.</w:t>
            </w:r>
          </w:p>
        </w:tc>
      </w:tr>
      <w:tr>
        <w:tc>
          <w:tcPr/>
          <w:p>
            <w:pPr>
              <w:pStyle w:val="Compact"/>
            </w:pPr>
            <w:r>
              <w:t xml:space="preserve">HXC-242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Five checks covering the built-in screenshot and quality-assurance session features fail against the running HelixCode server, and every one of them fails for the same reason: the server answers</w:t>
            </w:r>
            <w:r>
              <w:t xml:space="preserve"> </w:t>
            </w:r>
            <w:r>
              <w:t xml:space="preserve">‘QA engine is disabled’</w:t>
            </w:r>
            <w:r>
              <w:t xml:space="preserve"> </w:t>
            </w:r>
            <w:r>
              <w:t xml:space="preserve">and reports itself temporarily unavailable. The server is being honest here rather than misbehaving, but the practical effect is that a whole advertised area of the product is switched off in this deployment and therefore cannot be used by anyone or confirmed as working by anybody. The affected areas are listing the available screenshot engines, listing quality-assurance sessions, asking for the status of a session, starting a new session, and the handling of a request to start a session with nothing to run. Because the feature is off, we have no evidence either way about whether the underlying code behind it functions. Someone needs to decide whether this feature is meant to be available, and if so switch it on and re-run these checks so the behaviour is actually proven; if it is meant to stay off, the checks should say so rather than reporting failures.</w:t>
            </w:r>
          </w:p>
        </w:tc>
      </w:tr>
      <w:tr>
        <w:tc>
          <w:tcPr/>
          <w:p>
            <w:pPr>
              <w:pStyle w:val="Compact"/>
            </w:pPr>
            <w:r>
              <w:t xml:space="preserve">HXC-243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Several of the automated test collections that check our services declare no expectation about what a correct answer looks like. They send a request, receive whatever comes back, and record a pass regardless of the reply. This was demonstrated rather than argued: one collection was deliberately aimed at the wrong service, one already proven to be returning an error for every request, and it reported both of its checks as passing. A collection that passes against a service known to be broken cannot tell a working feature from a dead one, so its green result carries no information at all. This matters more than an ordinary failing test, because a suite that cannot fail is worse than no suite: it produces confidence where there is none, and it will keep producing it every time it runs. The work is to give every check an explicit expectation — the status it should return, or the content the answer must contain — and then prove each one is capable of failing by pointing it at something known to be wrong and confirming it reports a failure. A separate finding from the same run: four apparent failures in the worker collection were traced to the test harness looking for the wrong field name in the login reply, not to any fault in the product, and that mismatch should be corrected so real failures are not lost among false ones.</w:t>
            </w:r>
          </w:p>
        </w:tc>
      </w:tr>
      <w:tr>
        <w:tc>
          <w:tcPr/>
          <w:p>
            <w:pPr>
              <w:pStyle w:val="Compact"/>
            </w:pPr>
            <w:r>
              <w:t xml:space="preserve">HXC-245</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One blocked work item (HXC-172) has its explanation stored in the database but no longer has that same explanation written into its own descriptive text, and the two are supposed to agree. The tracker rebuilds those stored explanations FROM the descriptive text every time it regenerates its records, so an explanation that exists only in the database and not in the text is discarded the next time the tracker runs a full regeneration. That is what happens today: a regenerate-and-reread cycle drops it, and the tracker’s own validation then correctly reports the item as blocked-without-an-explanation. This matters because that explanation is what makes a blocked item actionable — it records what is blocked, what was already tried, and which decision would unblock it; losing it turns a tracked decision waiting on a person into an item nobody can act on. The operator benefits by keeping the context needed to make the blocking decision, and future contributors can see why the item stalled. The expected outcome is that the item’s descriptive text carries its explanation again, the stored and written copies agree, and a regenerate-and-reread cycle preserves it — proven by the tracker’s validation passing on the regenerated records.</w:t>
            </w:r>
          </w:p>
        </w:tc>
      </w:tr>
      <w:tr>
        <w:tc>
          <w:tcPr/>
          <w:p>
            <w:pPr>
              <w:pStyle w:val="Compact"/>
            </w:pPr>
            <w:r>
              <w:t xml:space="preserve">HXC-246</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complete run of the agent runtime’s automated tests finished with 366 groups passing, 12 groups failing, and 74 individual test failures. The failures are being investigated rather than assumed, because the early evidence points at the tests and their environment rather than at the product. Three patterns account for most of them: a large group cannot reach the in-memory cache service because they look for it on the port number it uses INSIDE its container while this machine publishes it on a different one; a second group expects a running service to answer a web request and fails instantly, even though that service is up and answering correctly when asked by hand; a third group measures elapsed time against fixed limits and overshot them by about a quarter, having run while four other jobs and a service rebuild were competing for the same processor. None of that proves the product is healthy, and none of it proves the product is broken - that is exactly what four parallel investigations are now establishing, each required to produce captured evidence rather than a plausible story. This matters because a test suite that fails for environmental reasons is as damaging as one that passes while the product is broken: both teach everyone to stop trusting the result, and both hide the real defects in the noise. The operator benefits from a suite whose red means something, and future contributors get a signal they can act on. The expected outcome is every one of the 74 failures classified with evidence as a genuine product defect, a test defect, an environment coupling, or a contention artifact, each real defect fixed with a test that reproduces it first, and the suite returning to a trustworthy state.</w:t>
            </w:r>
          </w:p>
        </w:tc>
      </w:tr>
      <w:tr>
        <w:tc>
          <w:tcPr/>
          <w:p>
            <w:pPr>
              <w:pStyle w:val="Compact"/>
            </w:pPr>
            <w:r>
              <w:t xml:space="preserve">HXC-247</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Two separate parts of the system have both been told to use the same network address, and neither knows about the other. The agent runtimes own address book - the file that decides which service gets which port number - assigns port 8100 to the agent runtime itself. But a different component, the model verifier, has its own configuration that also names port 8100, and because the verifier starts first it takes the address. Meanwhile the agent runtime is launched from a settings file that still names its old address, 7061, so it never even tries to claim the one it was allocated. The visible result is that 82 test files ask port 8100 for the agent runtime and are answered by the verifier, which does not recognise the requests and rejects them with a not-found - so those tests report the agent runtime as broken when it is running perfectly well a few numbers away. This matters because it makes a large part of the test suite structurally incapable of testing the thing it names, and because the same collision would mislead anyone deploying the system for real. Whoever operates or deploys this benefits directly: today a healthy service reads as failing, and a genuinely failing one would look exactly the same. The expected outcome is a single place that decides port allocation for every component, no two components claiming the same number, the agent runtimes own settings agreeing with that allocation, and the tests then passing or failing for reasons that are genuinely about the product. Later evidence settles which of the two sides is the mistaken one, and it turns out the deployment is not misconfigured at all. The model verifier’s own service definition - the file that starts it on this machine - documents in its own header that this address is the agreed meeting point between the verifier and the gateway that consumes it, that the gateway looks there by default, and, in as many words, that the agent runtime actually runs on the other address here. The choice was therefore made deliberately and written down at deployment time, in the verifier’s favour. That makes the defect narrower and clearer than first described: the agent runtime’s internal address book is simply out of date, still claiming an address that a different, documented owner holds, and annotating it with a note that the old address was abandoned when in fact the old address is the one still in use. A contributing cause is that the verifier has no entry at all in that address book, so the one mechanism meant to prevent two components claiming the same number could not arbitrate a component it had never been told about. The practical consequence is unchanged - the tests inherit the stale claim and are answered by the wrong service - but the repair direction is now settled rather than open: correct the agent runtime’s entry to the address it genuinely serves, give the verifier an entry so the collision cannot silently recur, and point the test defaults at the real address. The honest limit is that this establishes which side is stale and why; it does not by itself establish that renumbering is safe to execute, because that entry is consumed across the whole component and the change still needs its impact review before it lands.</w:t>
            </w:r>
          </w:p>
        </w:tc>
      </w:tr>
      <w:tr>
        <w:tc>
          <w:tcPr/>
          <w:p>
            <w:pPr>
              <w:pStyle w:val="Compact"/>
            </w:pPr>
            <w:r>
              <w:t xml:space="preserve">HXC-248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A cleanup step in the automated test suite can shut down the running platform, and today the only thing preventing that is a coincidence. When the integration tests finish they try to stop any containers they started. To avoid stopping containers they did not start, they first check whether the agent service is still running - but the check is only whether</w:t>
            </w:r>
            <w:r>
              <w:t xml:space="preserve"> </w:t>
            </w:r>
            <w:r>
              <w:rPr>
                <w:i/>
                <w:iCs/>
              </w:rPr>
              <w:t xml:space="preserve">something</w:t>
            </w:r>
            <w:r>
              <w:t xml:space="preserve"> </w:t>
            </w:r>
            <w:r>
              <w:t xml:space="preserve">answers on network port 8100, with no verification of what that something is. On this machine port 8100 is held by a different component entirely, the model verifier, so the check says yes, and the shutdown is skipped. The agent service itself is running on a different port and is never actually consulted. If the verifier were ever stopped, restarted late, or moved, that same check would say no and the test cleanup would shut down the live platform out from under whoever was using it. The log line it prints while doing this is also untrue: it reports that the agent is still running on 8100 when the agent is not there at all. This matters to anyone running the test suite on a machine that also hosts a live deployment, which is the normal case here. The expected outcome is a check that confirms the identity of what is answering - not merely that the port is occupied - so the cleanup makes its decision on the real condition rather than a coincidence, and so the message it logs is true.</w:t>
            </w:r>
          </w:p>
        </w:tc>
      </w:tr>
      <w:tr>
        <w:tc>
          <w:tcPr/>
          <w:p>
            <w:pPr>
              <w:pStyle w:val="Compact"/>
            </w:pPr>
            <w:r>
              <w:t xml:space="preserve">HXC-250</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a user asks the system to write out a ready-made configuration file for their command-line coding assistant, the file it produces points that assistant at the wrong service. The generator fills in a network address that belongs to the model verifier rather than to the agent runtime the assistant is supposed to talk to, so the assistant sends its requests to a component that does not understand them and receives a flat</w:t>
            </w:r>
            <w:r>
              <w:t xml:space="preserve"> </w:t>
            </w:r>
            <w:r>
              <w:t xml:space="preserve">“not found”</w:t>
            </w:r>
            <w:r>
              <w:t xml:space="preserve"> </w:t>
            </w:r>
            <w:r>
              <w:t xml:space="preserve">in reply. From the user’s point of view the assistant simply does not work, with nothing in the error explaining that the address in their brand-new config was wrong from the moment it was written. Of the forty-eight assistants the project documents support for, forty-six are affected; a fix landed earlier covers only two of them, so the shared generator that serves all the rest still writes the wrong address today. This is the most directly user-facing defect in the current set, because it is not an internal test that misleads a developer - it is a file handed to a user with an instruction to use it. The people harmed are exactly the newcomers the feature exists to help: someone setting up their assistant for the first time, following the documented path, and getting a broken result they have no way to diagnose. The expected outcome is that every generated configuration names the address the agent runtime genuinely serves, that all forty-eight documented assistants are covered rather than two, and that a generated config works when the user follows the documented setup without editing anything by hand.</w:t>
            </w:r>
          </w:p>
        </w:tc>
      </w:tr>
      <w:tr>
        <w:tc>
          <w:tcPr/>
          <w:p>
            <w:pPr>
              <w:pStyle w:val="Compact"/>
            </w:pPr>
            <w:r>
              <w:t xml:space="preserve">HXC-251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One of our own services could not start while our own platform was running, because both had been told to use the same network address. The address in question is the conventional default that the wider industry uses for this kind of service, which is precisely what makes it the number most likely to be already taken - and on this project’s own machine it was taken, by a supporting database container the platform itself starts. The result was that the service refused to start whenever the platform was up, and any client dialling that same well-known address reached the database container instead, which completed a perfectly healthy-looking connection and then rejected every request. Because the wrong service was alive rather than absent, the checks that skip tests when something is unreachable did not skip: they ran, failed, and reported the failures against our service, which had never been running at all. This was also the underlying cause of twenty test failures that had been attributed to the wrong component. The fix registers the service in the project’s central address book so its address is allocated deliberately and can never silently collide again, and it now fails immediately with an actionable message rather than starting somewhere unexpected. What remains open is smaller but still misleading: the startup message printed for the operator still announces the old address, so anyone reading the log is told the wrong place to connect. Whoever runs or debugs the platform benefits, and the expected outcome is that the service starts reliably alongside the rest of the stack and that every message it prints names the address it genuinely bound.</w:t>
            </w:r>
          </w:p>
        </w:tc>
      </w:tr>
      <w:tr>
        <w:tc>
          <w:tcPr/>
          <w:p>
            <w:pPr>
              <w:pStyle w:val="Compact"/>
            </w:pPr>
            <w:r>
              <w:t xml:space="preserve">HXC-254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Tests in one area of the codebase interfere with each other because they unintentionally share a single piece of network machinery, so a test can fail for reasons that have nothing to do with the code it is testing. When each connector to an external service is created it is given its own timeout setting but no connection handler of its own, and the underlying library quietly falls back to one shared handler belonging to the whole process. The tests in this area start roughly a hundred and forty-five miniature pretend servers and mark around five hundred cases to run simultaneously; each pretend server, when it shuts down at the end of its own test, politely tells that shared handler to close idle connections - and because the handler is shared, it also severs connections other tests are in the middle of using. The result is a failure that appears in a different connector on almost every run and vanishes when the tests are run one at a time, which is the signature of a problem in the test setup rather than in the product. It reproduces reliably enough to matter: roughly one run in ten fails this way. Developers are the people harmed, because a suite that fails unpredictably teaches everyone to re-run it rather than read it, and real defects hide comfortably inside that noise. The expected outcome is that each connector is given its own connection handler so shutting one pretend server down cannot disturb any other test, and the suite becomes trustworthy enough that a red result means something is genuinely wrong.</w:t>
            </w:r>
          </w:p>
        </w:tc>
      </w:tr>
      <w:tr>
        <w:tc>
          <w:tcPr/>
          <w:p>
            <w:pPr>
              <w:pStyle w:val="Compact"/>
            </w:pPr>
            <w:r>
              <w:t xml:space="preserve">HXC-255</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Two things are left over in the scripts that run the project’s full validation, and one of them needs a decision from the operator rather than a quiet fix from us. The first is a display problem: the end-of-run summary prints</w:t>
            </w:r>
            <w:r>
              <w:t xml:space="preserve"> </w:t>
            </w:r>
            <w:r>
              <w:t xml:space="preserve">“Integration Tests: Completed”</w:t>
            </w:r>
            <w:r>
              <w:t xml:space="preserve"> </w:t>
            </w:r>
            <w:r>
              <w:t xml:space="preserve">in green whenever the log file merely exists, regardless of what the log actually says, so a run in which tests genuinely failed still shows a reassuring green line in the summary a person is most likely to read. The second is deliberate and more consequential: both runners are written to note test failures as warnings and carry on, finishing with an overall success status even when real tests have failed, which means neither script can serve as a gate that blocks a release. That behaviour was chosen on purpose so that a single failure does not abort a long run and lose the rest of the information, and there is a genuine trade-off here between gathering everything in one pass and refusing to proceed when something is broken. Because it is a deliberate posture rather than an oversight, changing it is an operator decision about how the project wants its release gate to behave, and it should not be altered silently by whoever happens to touch the file next. Whoever depends on these runs to judge release readiness benefits from settling it, since today a green finish means only that the script reached the end. The expected outcome is that the summary line reflects the real result rather than the presence of a file, and that the operator makes an explicit, recorded choice about whether these runners should fail when tests fail.</w:t>
            </w:r>
          </w:p>
        </w:tc>
      </w:tr>
      <w:tr>
        <w:tc>
          <w:tcPr/>
          <w:p>
            <w:pPr>
              <w:pStyle w:val="Compact"/>
            </w:pPr>
            <w:r>
              <w:t xml:space="preserve">HXC-256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tool that regenerates the project’s tracker documents writes them next to wherever it happens to be run from unless it is explicitly told otherwise, so an operator who omits that one optional setting quietly produces a second, untracked copy of every tracker document while the real ones stay out of date. The tool’s own usage line presents the destination as optional, which is what invites the omission, and its built-in default is simply the current folder rather than the folder where this project actually keeps those documents. This was found the hard way during routine work: running the documented command without that setting created sixteen stray copies at the top of the project while the genuine documents, one directory down, kept their old contents. The consequence is a split-brain state where someone can look at freshly written files, see today’s content, and reasonably conclude the records are current when the versions under version control are not. Anyone regenerating the tracker documents by hand is exposed, which in practice means maintainers and automated helpers working outside the standard scripts. The exposure is genuinely bounded and that bounds the severity: every wrapper script the project ships passes the destination explicitly, the tool prints the full path of everything it writes so the mistake is visible to a careful reader, the stray copies show up as new untracked files, and the separate consistency check would eventually notice the real documents had gone stale. What is missing is the tool itself objecting. The expected outcome is that regenerating the documents without naming a destination either writes them where the project keeps them or refuses and says so, instead of succeeding somewhere else. The check that would have caught this does not exist today: the existing guard for a closely related problem always supplies the destination explicitly, so it can never exercise the case where the setting is left out - adding that second case is the specified follow-up.</w:t>
            </w:r>
          </w:p>
        </w:tc>
      </w:tr>
      <w:tr>
        <w:tc>
          <w:tcPr/>
          <w:p>
            <w:pPr>
              <w:pStyle w:val="Compact"/>
            </w:pPr>
            <w:r>
              <w:t xml:space="preserve">HXC-257</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The automated check that guards our workable-items records promises more than it actually measures, so a reader who trusts its wording is given a guarantee nobody ever computed. Internally it names the thing it inspects</w:t>
            </w:r>
            <w:r>
              <w:t xml:space="preserve"> </w:t>
            </w:r>
            <w:r>
              <w:t xml:space="preserve">“the committed database”</w:t>
            </w:r>
            <w:r>
              <w:t xml:space="preserve"> </w:t>
            </w:r>
            <w:r>
              <w:t xml:space="preserve">and its written description states that it proves the committed database is valid and not stale, but it never consults version control at all - it simply copies the file sitting in the working folder, which may contain changes that have not been committed to anything. What it genuinely proves is narrower and still useful: that the database and the documents on disk right now agree with each other. The gap was demonstrated live during this session, when the check reported success while the database held seven newly filed records that had not yet been committed - exactly the situation its own wording claims to rule out. Worth stating plainly is that the underlying behaviour is probably correct: the check runs as part of the pre-release sweep, where the point is to confirm the material you are about to commit is self-consistent, so inspecting the working folder is the sensible thing to do, and there is a documented reason for the copy - opening the database directly would modify it as a side effect. On that reading the repair is the naming and the wording, not the logic. Everyone who reads that check’s verdict before approving a release is affected, because the difference between</w:t>
            </w:r>
            <w:r>
              <w:t xml:space="preserve"> </w:t>
            </w:r>
            <w:r>
              <w:t xml:space="preserve">“what is on your disk is consistent”</w:t>
            </w:r>
            <w:r>
              <w:t xml:space="preserve"> </w:t>
            </w:r>
            <w:r>
              <w:t xml:space="preserve">and</w:t>
            </w:r>
            <w:r>
              <w:t xml:space="preserve"> </w:t>
            </w:r>
            <w:r>
              <w:t xml:space="preserve">“what is committed is correct”</w:t>
            </w:r>
            <w:r>
              <w:t xml:space="preserve"> </w:t>
            </w:r>
            <w:r>
              <w:t xml:space="preserve">is exactly the difference that matters when the two have drifted. The misleading name has already spread: the description of the paired test that exercises this check repeats the same claim. The expected outcome is that the check’s name, its description, and the sentence it prints all describe only what it measures, and that if the stronger guarantee is wanted it is added deliberately as a separate comparison against version control. The test that would have caught this does not exist today: the paired test plants a disagreement between the documents and the database, but nothing plants a difference between the committed copy and the working copy and requires the check to object - adding that case is the specified follow-up.</w:t>
            </w:r>
          </w:p>
        </w:tc>
      </w:tr>
      <w:tr>
        <w:tc>
          <w:tcPr/>
          <w:p>
            <w:pPr>
              <w:pStyle w:val="Compact"/>
            </w:pPr>
            <w:r>
              <w:t xml:space="preserve">HXC-258</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Our workable-items database keeps a small bookkeeping note saying which way the last synchronisation ran between the database and the human-readable tracker documents. That note is only ever written by one of the two synchronisation paths - the one that copies documents into the database - and the value it writes is fixed text rather than the direction that actually ran. The path that goes the other way, regenerating the documents from the database, never updates the note at all. The practical effect is that after the documents are regenerated the note still describes an older run in the opposite direction, so anyone reading it to find out what happened most recently is told the reverse of the truth. This matters because deciding the direction of a synchronisation is exactly the judgement that can destroy records if it is made backwards, and this field looks like evidence for that judgement while being incapable of supporting it. The note currently reads as a document-into-database run dated the eleventh of July while the most recent actual run was a database-into-documents regeneration on the ninth of August. The correct repair is in the shared tooling that performs the synchronisation, which must record the direction that genuinely ran on both paths rather than assuming one of them; editing the stored value by hand would be undone by the next run and is therefore not a fix.</w:t>
            </w:r>
          </w:p>
        </w:tc>
      </w:tr>
      <w:tr>
        <w:tc>
          <w:tcPr/>
          <w:p>
            <w:pPr>
              <w:pStyle w:val="Compact"/>
            </w:pPr>
            <w:r>
              <w:t xml:space="preserve">HXC-259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Every workable item is supposed to accumulate a short audit trail recording the moments its status changed - opened, reopened, closed - together with who made the change and what evidence justified it. A recent repair noted in passing that two newly filed items had no such trail. Measurement across the whole database shows the situation is not confined to those two: eighty-one distinct records covering one hundred and forty-five rows have no history entries at all, and all but one of them are items that have already been closed and filed away. In other words the majority of our closed record has no machine-readable account of how it reached that state, which weakens any later attempt to audit a closure, to understand why something was reopened, or to reconstruct a timeline for a review. The cause is that items created by direct database writes rather than through the sanctioned creation command skip the step that opens the audit trail, and historical records imported before the trail existed never had one. This is deliberately not being repaired by back-filling: inventing dates and authors for events nobody witnessed would produce an audit trail that is worse than an absent one because it would look authoritative. What is needed instead is a decision on how to mark these records as genuinely unaudited, and a check that prevents any newly created item from joining them.</w:t>
            </w:r>
          </w:p>
        </w:tc>
      </w:tr>
      <w:tr>
        <w:tc>
          <w:tcPr/>
          <w:p>
            <w:pPr>
              <w:pStyle w:val="Compact"/>
            </w:pPr>
            <w:r>
              <w:t xml:space="preserve">HXC-260</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Kubernetes manifests for HelixAgent told everyone that the gRPC service lives on port 9090, and they set an environment variable called GRPC_PORT to make it so. Neither half was true. No Go source in the repository reads GRPC_PORT, so setting it could never move the port the server listens on; this was proven at runtime, where GRPC_PORT=36999 still bound :8112 while the real variable HELIXAGENT_PORT_GRPC=36999 bound :36999. And 9090 is a port no HelixAgent process ever binds: the gRPC server resolves its port from the internal/ports registry (HelixAgentGRPC, core band offset 112), which is 8112 — confirmed by running the built cmd/grpc-server binary and observing its LISTEN socket on *:8112. The practical effect is that anyone deploying HelixAgent to Kubernetes from these manifests would get a Deployment exposing containerPort 9090, a Service forwarding gRPC traffic to targetPort 9090, and a NetworkPolicy admitting traffic on 9090 — three artifacts agreeing with each other and all pointing at a port nothing listens on, while the port the server would actually bind was blocked. The damage is worse than a wrong number because the manifest LOOKED configurable: an operator who noticed the problem and edited GRPC_PORT would see no change whatsoever, defeating their own debugging. This item covers correcting all four manifests that name the port (deployment.yaml, service.yaml, networkpolicy.yaml, configmap.yaml) onto the registry port and replacing the dead variable with the one the server honours. It also records the honest remaining limitation: the image this Deployment runs is built from cmd/helixagent, which contains no gRPC server at all (that is a separate binary, cmd/grpc-server), so the endpoint is now correct but INERT until a grpc-server container is added to the pod — a follow-up that the corrected manifests make a one-line change instead of a re-derivation. Reproduce by checking out the pre-fix tree and running the polarity test in internal/ports with RED_MODE=1, which asserts the dead variable and containerPort 9090 are present. Acceptance criteria: internal/ports/published_grpc_port_test.go passes with RED_MODE unset (asserting every manifest names the registry port and none sets the dead variable outside a comment) and fails on the pre-fix tree, citing deployment.yaml line 32.</w:t>
            </w:r>
          </w:p>
        </w:tc>
      </w:tr>
      <w:tr>
        <w:tc>
          <w:tcPr/>
          <w:p>
            <w:pPr>
              <w:pStyle w:val="Compact"/>
            </w:pPr>
            <w:r>
              <w:t xml:space="preserve">HXC-261</w:t>
            </w:r>
          </w:p>
        </w:tc>
        <w:tc>
          <w:tcPr/>
          <w:p>
            <w:pPr>
              <w:pStyle w:val="Compact"/>
            </w:pPr>
            <w:r>
              <w:t xml:space="preserve">Bug</w:t>
            </w:r>
          </w:p>
        </w:tc>
        <w:tc>
          <w:tcPr/>
          <w:p>
            <w:pPr>
              <w:pStyle w:val="Compact"/>
            </w:pPr>
            <w:r>
              <w:t xml:space="preserve">Queued</w:t>
            </w:r>
          </w:p>
        </w:tc>
        <w:tc>
          <w:tcPr/>
          <w:p>
            <w:pPr>
              <w:pStyle w:val="Compact"/>
            </w:pPr>
            <w:r>
              <w:t xml:space="preserve">Critical</w:t>
            </w:r>
          </w:p>
        </w:tc>
        <w:tc>
          <w:tcPr/>
          <w:p>
            <w:pPr>
              <w:pStyle w:val="Compact"/>
            </w:pPr>
            <w:r>
              <w:t xml:space="preserve">The challenge script that is supposed to prove HelixAgent’s gRPC protocol works was structurally incapable of failing, and it has been reporting green for the entire time it has existed. Two independent faults compounded. First, it resolved its port from an environment variable named HELIXAGENT_GRPC_PORT defaulting to 7062 — a third spelling that no Go source reads (the server honours HELIXAGENT_PORT_GRPC) and a number belonging to no service in the project: not the old hardcoded 50051, not the registry’s 8112, not the HTTP port 7061. Second, and far worse, every one of its four probes recorded a successful assertion whether the port answered or not: the port-availability check recorded true when the port was listening AND recorded true, labelled</w:t>
            </w:r>
            <w:r>
              <w:t xml:space="preserve"> </w:t>
            </w:r>
            <w:r>
              <w:t xml:space="preserve">‘optional’</w:t>
            </w:r>
            <w:r>
              <w:t xml:space="preserve">, when it was not; the unary-call, streaming-call and error-handling checks did the same. The two faults together mean the challenge dialled an address no HelixAgent process has ever bound, found nothing there, and then certified the gRPC protocol healthy. This is the most damaging class of defect in the codebase because it is not merely an untested feature — it is an automated test actively producing false-green results, which is exactly what the anti-bluff covenant exists to prevent, and it masks any real gRPC breakage from everyone reading the suite. It also violated the challenge framework’s own documented contract: the framework already ships a record_skip helper whose docstring says never to use record_assertion with status true to mask a missing feature, and the primitive was simply not used. This item covers resolving the port through the registry’s own variable name and default, consolidating the four duplicated probe sites into one helper so absence is interpreted in exactly one place, making absence report as an honest SKIP carrying a SKIP-OK ticket rather than success, making a real failed call report as FAILED, and replacing the two-state final verdict (which reported PASSED whenever nothing had failed, including when nothing had been verified) with a three-state verdict that reports SKIPPED when no assertion could be verified. Reproduce with the guard at challenges/scripts/tests/protocol_grpc_fail_open_guard.sh run with RED_MODE=1 against the pre-fix script: it binds and releases a port to prove it is free, drives the challenge’s own probe functions against it, and confirms assertions are recorded PASSED anyway. Acceptance criteria: that same guard with RED_MODE=0 reports zero PASSED assertions against a proven-free port with every probe SKIPPED and SKIP-OK tagged, and the challenge still records a genuine PASSED assertion when a real gRPC server is listening on the registry port.</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2026-08-10T21:31:06Z</dcterms:created>
  <dcterms:modified xsi:type="dcterms:W3CDTF">2026-08-10T21:31:06Z</dcterms:modified>
</cp:coreProperties>
</file>

<file path=docProps/custom.xml><?xml version="1.0" encoding="utf-8"?>
<Properties xmlns="http://schemas.openxmlformats.org/officeDocument/2006/custom-properties" xmlns:vt="http://schemas.openxmlformats.org/officeDocument/2006/docPropsVTypes"/>
</file>