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helixcode-fixed-items-summary"/>
    <w:p>
      <w:pPr>
        <w:pStyle w:val="Heading1"/>
      </w:pPr>
      <w:r>
        <w:t xml:space="preserve">HelixCode — Fixed Items Summary</w:t>
      </w:r>
    </w:p>
    <w:p>
      <w:pPr>
        <w:pStyle w:val="BlockText"/>
      </w:pPr>
      <w:r>
        <w:t xml:space="preserve">Generated</w:t>
      </w:r>
      <w:r>
        <w:t xml:space="preserve"> </w:t>
      </w:r>
      <w:r>
        <w:rPr>
          <w:b/>
          <w:bCs/>
        </w:rPr>
        <w:t xml:space="preserve">mechanically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scripts/generate_fixed_summary.sh</w:t>
      </w:r>
      <w:r>
        <w:t xml:space="preserve"> </w:t>
      </w:r>
      <w:r>
        <w:t xml:space="preserve">per Constitution §11.4.19 + §11.4.57 (Type-aware closure vocabulary). Counts only — do not hand-edit, re-run the generator.</w:t>
      </w:r>
    </w:p>
    <w:bookmarkStart w:id="9" w:name="aggregate-counts"/>
    <w:p>
      <w:pPr>
        <w:pStyle w:val="Heading2"/>
      </w:pPr>
      <w:r>
        <w:t xml:space="preserve">Aggregate counts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Closure vocabulary (CONST-057)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Fixed (→ Fixed.md)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Implemented (→ Fixed.md)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 (→ Fixed.md)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Obsolete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Obsolete (→ Fixed.md)</w:t>
            </w:r>
            <w:r>
              <w:t xml:space="preserve"> </w:t>
            </w:r>
            <w:r>
              <w:t xml:space="preserve">(§11.4.90 — terminal Status, orthogonal to Type)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closed items</w:t>
      </w:r>
      <w:r>
        <w:t xml:space="preserve">: 188 (counted directly from the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closure table).</w:t>
      </w:r>
    </w:p>
    <w:bookmarkEnd w:id="9"/>
    <w:bookmarkStart w:id="10" w:name="obsolete-items-11.4.90"/>
    <w:p>
      <w:pPr>
        <w:pStyle w:val="Heading2"/>
      </w:pPr>
      <w:r>
        <w:t xml:space="preserve">Obsolete items (§11.4.90)</w:t>
      </w:r>
    </w:p>
    <w:p>
      <w:pPr>
        <w:pStyle w:val="Compact"/>
        <w:numPr>
          <w:ilvl w:val="0"/>
          <w:numId w:val="1001"/>
        </w:numPr>
      </w:pPr>
      <w:r>
        <w:t xml:space="preserve">HXC-044: internal/cognee — AMD-GPU rocm-smi JSON parser returns -1 sentinel instead of parsed GPU-use value</w:t>
      </w:r>
    </w:p>
    <w:p>
      <w:pPr>
        <w:pStyle w:val="FirstParagraph"/>
      </w:pPr>
      <w:r>
        <w:rPr>
          <w:i/>
          <w:iCs/>
        </w:rPr>
        <w:t xml:space="preserve">Last regenerated: 2026-07-29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scripts/generate_fixed_summary.sh</w:t>
      </w:r>
      <w:r>
        <w:rPr>
          <w:i/>
          <w:iCs/>
        </w:rPr>
        <w:t xml:space="preserve">. HTML/PDF exports via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scripts/regenerate-tracker-exports.sh</w:t>
      </w:r>
      <w:r>
        <w:rPr>
          <w:i/>
          <w:iCs/>
        </w:rPr>
        <w:t xml:space="preserve">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2026-07-28T19:25:21Z</dcterms:created>
  <dcterms:modified xsi:type="dcterms:W3CDTF">2026-07-28T19:25:21Z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