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elixcode-issues-summary"/>
    <w:p>
      <w:pPr>
        <w:pStyle w:val="Heading1"/>
      </w:pPr>
      <w:r>
        <w:t xml:space="preserve">HelixCode — Issues Summary</w:t>
      </w:r>
    </w:p>
    <w:p>
      <w:pPr>
        <w:pStyle w:val="BlockText"/>
      </w:pPr>
      <w:r>
        <w:t xml:space="preserve">Generated</w:t>
      </w:r>
      <w:r>
        <w:t xml:space="preserve"> </w:t>
      </w:r>
      <w:r>
        <w:rPr>
          <w:b/>
          <w:bCs/>
        </w:rPr>
        <w:t xml:space="preserve">mechanically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scripts/generate_issues_summary.sh</w:t>
      </w:r>
      <w:r>
        <w:t xml:space="preserve"> </w:t>
      </w:r>
      <w:r>
        <w:t xml:space="preserve">per Constitution §11.4.91 (summary clarity) + §11.4.12 (CM-ISSUES-SUMMARY-SYNC). Do not hand-edit — re-run the generator. Title column carries each item’s H2 heading (self-contained, ≥40 chars per §11.4.91); Notes is the first Closure/Evidence/Resolution line.</w:t>
      </w:r>
    </w:p>
    <w:p>
      <w:pPr>
        <w:pStyle w:val="BlockText"/>
      </w:pPr>
      <w:r>
        <w:rPr>
          <w:b/>
          <w:bCs/>
        </w:rPr>
        <w:t xml:space="preserve">Prefix convention:</w:t>
      </w:r>
      <w:r>
        <w:t xml:space="preserve"> </w:t>
      </w:r>
      <w:r>
        <w:t xml:space="preserve">IDs are scope-prefixed (</w:t>
      </w:r>
      <w:r>
        <w:rPr>
          <w:rStyle w:val="VerbatimChar"/>
        </w:rPr>
        <w:t xml:space="preserve">HXC</w:t>
      </w:r>
      <w:r>
        <w:t xml:space="preserve">=root project;</w:t>
      </w:r>
      <w:r>
        <w:t xml:space="preserve"> </w:t>
      </w:r>
      <w:r>
        <w:rPr>
          <w:rStyle w:val="VerbatimChar"/>
        </w:rPr>
        <w:t xml:space="preserve">HXA</w:t>
      </w:r>
      <w:r>
        <w:t xml:space="preserve">=HelixAgent;</w:t>
      </w:r>
      <w:r>
        <w:t xml:space="preserve"> </w:t>
      </w:r>
      <w:r>
        <w:rPr>
          <w:rStyle w:val="VerbatimChar"/>
        </w:rPr>
        <w:t xml:space="preserve">HXL</w:t>
      </w:r>
      <w:r>
        <w:t xml:space="preserve">=HelixLLM;</w:t>
      </w:r>
      <w:r>
        <w:t xml:space="preserve"> </w:t>
      </w:r>
      <w:r>
        <w:rPr>
          <w:rStyle w:val="VerbatimChar"/>
        </w:rPr>
        <w:t xml:space="preserve">HXQ</w:t>
      </w:r>
      <w:r>
        <w:t xml:space="preserve">=HelixQA;</w:t>
      </w:r>
      <w:r>
        <w:t xml:space="preserve"> </w:t>
      </w:r>
      <w:r>
        <w:rPr>
          <w:rStyle w:val="VerbatimChar"/>
        </w:rPr>
        <w:t xml:space="preserve">HXV</w:t>
      </w:r>
      <w:r>
        <w:t xml:space="preserve">=LLMsVerifier;</w:t>
      </w:r>
      <w:r>
        <w:t xml:space="preserve"> </w:t>
      </w:r>
      <w:r>
        <w:rPr>
          <w:rStyle w:val="VerbatimChar"/>
        </w:rPr>
        <w:t xml:space="preserve">VEN</w:t>
      </w:r>
      <w:r>
        <w:t xml:space="preserve">=VisionEngine;</w:t>
      </w:r>
      <w:r>
        <w:t xml:space="preserve"> </w:t>
      </w:r>
      <w:r>
        <w:rPr>
          <w:rStyle w:val="VerbatimChar"/>
        </w:rPr>
        <w:t xml:space="preserve">PAN</w:t>
      </w:r>
      <w:r>
        <w:t xml:space="preserve">=panoptic;</w:t>
      </w:r>
      <w:r>
        <w:t xml:space="preserve"> </w:t>
      </w:r>
      <w:r>
        <w:rPr>
          <w:rStyle w:val="VerbatimChar"/>
        </w:rPr>
        <w:t xml:space="preserve">OPS</w:t>
      </w:r>
      <w:r>
        <w:t xml:space="preserve">=LLMOps). See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“Prefix convention”</w:t>
      </w:r>
      <w:r>
        <w:t xml:space="preserve"> </w:t>
      </w:r>
      <w:r>
        <w:t xml:space="preserve">for the legacy</w:t>
      </w:r>
      <w:r>
        <w:t xml:space="preserve"> </w:t>
      </w:r>
      <w:r>
        <w:rPr>
          <w:rStyle w:val="VerbatimChar"/>
        </w:rPr>
        <w:t xml:space="preserve">ISSUE-NNN</w:t>
      </w:r>
      <w:r>
        <w:t xml:space="preserve"> </w:t>
      </w:r>
      <w:r>
        <w:t xml:space="preserve">mapping.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Discovered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</w:t>
            </w:r>
          </w:p>
        </w:tc>
        <w:tc>
          <w:tcPr/>
          <w:p>
            <w:pPr>
              <w:pStyle w:val="Compact"/>
            </w:pPr>
            <w:r>
              <w:t xml:space="preserve">TestGuard_GetSystemStatus_WithDB_StillReports is named for a database-present case it never exercises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TestGuard_GetSystemStatus_WithDB_StillReports is named for a database-present case it never exercises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</w:t>
            </w:r>
          </w:p>
        </w:tc>
        <w:tc>
          <w:tcPr/>
          <w:p>
            <w:pPr>
              <w:pStyle w:val="Compact"/>
            </w:pPr>
            <w:r>
              <w:t xml:space="preserve">TestStartQASession_Success asserts on a session field a background goroutine is concurrently changing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TestStartQASession_Success asserts on a session field a background goroutine is concurrently changing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</w:t>
            </w:r>
          </w:p>
        </w:tc>
        <w:tc>
          <w:tcPr/>
          <w:p>
            <w:pPr>
              <w:pStyle w:val="Compact"/>
            </w:pPr>
            <w:r>
              <w:t xml:space="preserve">Standardise the divergent polarity-switch environment variable convention across the server test package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Standardise the divergent polarity-switch environment variable convention across the server test 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</w:t>
            </w:r>
          </w:p>
        </w:tc>
        <w:tc>
          <w:tcPr/>
          <w:p>
            <w:pPr>
              <w:pStyle w:val="Compact"/>
            </w:pPr>
            <w:r>
              <w:t xml:space="preserve">harmony_os background system monitor used an unsynchronised on/off flag as its stop signal, racing application shutdown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harmony_os background system monitor used an unsynchronised on/off flag as its stop signal, racing application shutdown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</w:t>
            </w:r>
          </w:p>
        </w:tc>
        <w:tc>
          <w:tcPr/>
          <w:p>
            <w:pPr>
              <w:pStyle w:val="Compact"/>
            </w:pPr>
            <w:r>
              <w:t xml:space="preserve">harmony_os and aurora_os changed on-screen elements directly from background threads, which the Fyne UI toolkit forbids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harmony_os and aurora_os changed on-screen elements directly from background threads, which the Fyne UI toolkit forbids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</w:t>
            </w:r>
          </w:p>
        </w:tc>
        <w:tc>
          <w:tcPr/>
          <w:p>
            <w:pPr>
              <w:pStyle w:val="Compact"/>
            </w:pPr>
            <w:r>
              <w:t xml:space="preserve">No test builds the harmony_os or aurora_os screens, so their widget-threading fixes rest on code review rather than captured runtime proof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test builds the harmony_os or aurora_os screens, so their widget-threading fixes rest on code review rather than captured runtime proof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Counts</w:t>
      </w:r>
      <w:r>
        <w:t xml:space="preserve">: 6 tracked item-sections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6 open</w:t>
      </w:r>
      <w:r>
        <w:t xml:space="preserve"> </w:t>
      </w:r>
      <w:r>
        <w:t xml:space="preserve">(non-terminal status) /</w:t>
      </w:r>
      <w:r>
        <w:t xml:space="preserve"> </w:t>
      </w:r>
      <w:r>
        <w:rPr>
          <w:b/>
          <w:bCs/>
        </w:rPr>
        <w:t xml:space="preserve">0 closed</w:t>
      </w:r>
      <w:r>
        <w:t xml:space="preserve"> </w:t>
      </w:r>
      <w:r>
        <w:t xml:space="preserve">(terminal</w:t>
      </w:r>
      <w:r>
        <w:t xml:space="preserve"> </w:t>
      </w:r>
      <w:r>
        <w:rPr>
          <w:rStyle w:val="VerbatimChar"/>
        </w:rPr>
        <w:t xml:space="preserve">(→ Fixed.md)</w:t>
      </w:r>
      <w:r>
        <w:t xml:space="preserve"> </w:t>
      </w:r>
      <w:r>
        <w:t xml:space="preserve">status; retained as §11.4.19 migration tombstones).</w:t>
      </w:r>
    </w:p>
    <w:p>
      <w:pPr>
        <w:pStyle w:val="BodyText"/>
      </w:pPr>
      <w:r>
        <w:rPr>
          <w:i/>
          <w:iCs/>
        </w:rPr>
        <w:t xml:space="preserve">Last regenerated: 2026-07-29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scripts/generate_issues_summary.sh</w:t>
      </w:r>
      <w:r>
        <w:rPr>
          <w:i/>
          <w:iCs/>
        </w:rPr>
        <w:t xml:space="preserve">. HTML/PDF exports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scripts/regenerate-tracker-exports.sh</w:t>
      </w:r>
      <w:r>
        <w:rPr>
          <w:i/>
          <w:iCs/>
        </w:rP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2026-07-28T19:25:21Z</dcterms:created>
  <dcterms:modified xsi:type="dcterms:W3CDTF">2026-07-28T19:25:21Z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