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44</w:t>
            </w:r>
          </w:p>
        </w:tc>
      </w:tr>
      <w:tr>
        <w:tc>
          <w:tcPr/>
          <w:p>
            <w:pPr>
              <w:pStyle w:val="Compact"/>
            </w:pPr>
            <w:r>
              <w:t xml:space="preserve">Bug</w:t>
            </w:r>
          </w:p>
        </w:tc>
        <w:tc>
          <w:tcPr/>
          <w:p>
            <w:pPr>
              <w:pStyle w:val="Compact"/>
            </w:pPr>
            <w:r>
              <w:t xml:space="preserve">Ready for testing</w:t>
            </w:r>
          </w:p>
        </w:tc>
        <w:tc>
          <w:tcPr/>
          <w:p>
            <w:pPr>
              <w:pStyle w:val="Compact"/>
            </w:pPr>
            <w:r>
              <w:t xml:space="preserve">1</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14</w:t>
            </w:r>
          </w:p>
        </w:tc>
      </w:tr>
      <w:tr>
        <w:tc>
          <w:tcPr/>
          <w:p>
            <w:pPr>
              <w:pStyle w:val="Compact"/>
            </w:pPr>
            <w:r>
              <w:rPr>
                <w:b/>
                <w:bCs/>
              </w:rPr>
              <w:t xml:space="preserve">TOTAL</w:t>
            </w:r>
          </w:p>
        </w:tc>
        <w:tc>
          <w:tcPr/>
          <w:p>
            <w:pPr>
              <w:pStyle w:val="Compact"/>
            </w:pPr>
          </w:p>
        </w:tc>
        <w:tc>
          <w:tcPr/>
          <w:p>
            <w:pPr>
              <w:pStyle w:val="Compact"/>
            </w:pPr>
            <w:r>
              <w:rPr>
                <w:b/>
                <w:bCs/>
              </w:rPr>
              <w:t xml:space="preserve">61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publishing the agent component, the hosting provider reported a large number of outstanding security advisories against the libraries it depends on, originally recorded as 204. That figure turns out to be unreliable in three separate ways, all now measured. It drifts upward on its own as new advisories are published — 204 when the item was filed, 205 the next day, and 210 on a live re-query on 2026-08-06 — so no fixed number can ever be</w:t>
            </w:r>
            <w:r>
              <w:t xml:space="preserve"> </w:t>
            </w:r>
            <w:r>
              <w:t xml:space="preserve">“the”</w:t>
            </w:r>
            <w:r>
              <w:t xml:space="preserve"> </w:t>
            </w:r>
            <w:r>
              <w:t xml:space="preserve">count. It over-states the work by about a fifth, because the same advisory is counted once for every dependency file it appears in: 210 rows collapse to 169 genuinely distinct advisories, and the five criticals collapse to four. And it comes from only one of the two places this code is published; the other copy reports zero, because advisory scanning was never switched on there. The recorded breakdown was also wrong: the real split is 5 critical, 88 high, 99 moderate and 18 low. A full reachability triage has now been completed, and it changes the picture substantially. An advisory only endangers a user if the affected code can actually be reached in something we ship, and on that test none of them currently qualify. The Go vulnerability scanner, run from the seven binaries we actually release, reports our code is affected by zero vulnerabilities; a handful of findings against a container library are reachable only from one internal package that nothing else in the codebase refers to and that never enters a released binary at all. Seven in ten of the remaining alerts, including three of the four critical ones, belong to a single copied-in third-party project whose container definition points at a build file that does not exist, so it cannot start today. Most of the rest belong to a browser toolkit that no release process ever builds. Exactly one alert touches a component that genuinely ships and runs, and the defence that advisory asks for has already been written and tested in our own code; the alert stays open only because the dependency version label was not bumped to match. A related piece of housekeeping was resolved while this triage was running: roughly 8,900 files of downloaded third-party library code, including the vulnerable template library behind one critical advisory, had been committed into the repository, and have now been removed from the tracked files, though they remain in the project history. The practical benefit of finishing this work is that the alarming published number stops misrepresenting the product, and we regain the ability to say honestly, with evidence, that nothing we ship carries a reachable known vulnerability. This item stays open because the third part of its acceptance criterion has not been done: the dependencies behind the critical and high findings have not yet been upgraded or removed, and the decision on whether to repair or retire the copied-in project that carries most of them is an operator call.</w:t>
            </w:r>
          </w:p>
        </w:tc>
      </w:tr>
      <w:tr>
        <w:tc>
          <w:tcPr/>
          <w:p>
            <w:pPr>
              <w:pStyle w:val="Compact"/>
            </w:pPr>
            <w:r>
              <w:t xml:space="preserve">HXC-168</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HXC-216</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tc>
      </w:tr>
      <w:tr>
        <w:tc>
          <w:tcPr/>
          <w:p>
            <w:pPr>
              <w:pStyle w:val="Compact"/>
            </w:pPr>
            <w:r>
              <w:t xml:space="preserve">HXC-219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tc>
      </w:tr>
      <w:tr>
        <w:tc>
          <w:tcPr/>
          <w:p>
            <w:pPr>
              <w:pStyle w:val="Compact"/>
            </w:pPr>
            <w:r>
              <w:t xml:space="preserve">HXC-224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tc>
      </w:tr>
      <w:tr>
        <w:tc>
          <w:tcPr/>
          <w:p>
            <w:pPr>
              <w:pStyle w:val="Compact"/>
            </w:pPr>
            <w:r>
              <w:t xml:space="preserve">HXC-225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tc>
      </w:tr>
      <w:tr>
        <w:tc>
          <w:tcPr/>
          <w:p>
            <w:pPr>
              <w:pStyle w:val="Compact"/>
            </w:pPr>
            <w:r>
              <w:t xml:space="preserve">HXC-226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tc>
      </w:tr>
      <w:tr>
        <w:tc>
          <w:tcPr/>
          <w:p>
            <w:pPr>
              <w:pStyle w:val="Compact"/>
            </w:pPr>
            <w:r>
              <w:t xml:space="preserve">HXC-227</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tc>
      </w:tr>
      <w:tr>
        <w:tc>
          <w:tcPr/>
          <w:p>
            <w:pPr>
              <w:pStyle w:val="Compact"/>
            </w:pPr>
            <w:r>
              <w:t xml:space="preserve">HXC-231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tc>
      </w:tr>
      <w:tr>
        <w:tc>
          <w:tcPr/>
          <w:p>
            <w:pPr>
              <w:pStyle w:val="Compact"/>
            </w:pPr>
            <w:r>
              <w:t xml:space="preserve">HXC-232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tc>
      </w:tr>
      <w:tr>
        <w:tc>
          <w:tcPr/>
          <w:p>
            <w:pPr>
              <w:pStyle w:val="Compact"/>
            </w:pPr>
            <w:r>
              <w:t xml:space="preserve">HXC-234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tc>
      </w:tr>
      <w:tr>
        <w:tc>
          <w:tcPr/>
          <w:p>
            <w:pPr>
              <w:pStyle w:val="Compact"/>
            </w:pPr>
            <w:r>
              <w:t xml:space="preserve">HXC-235</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tc>
      </w:tr>
      <w:tr>
        <w:tc>
          <w:tcPr/>
          <w:p>
            <w:pPr>
              <w:pStyle w:val="Compact"/>
            </w:pPr>
            <w:r>
              <w:t xml:space="preserve">HXC-236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tc>
      </w:tr>
      <w:tr>
        <w:tc>
          <w:tcPr/>
          <w:p>
            <w:pPr>
              <w:pStyle w:val="Compact"/>
            </w:pPr>
            <w:r>
              <w:t xml:space="preserve">HXC-238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tc>
      </w:tr>
      <w:tr>
        <w:tc>
          <w:tcPr/>
          <w:p>
            <w:pPr>
              <w:pStyle w:val="Compact"/>
            </w:pPr>
            <w:r>
              <w:t xml:space="preserve">HXC-239</w:t>
            </w:r>
          </w:p>
        </w:tc>
        <w:tc>
          <w:tcPr/>
          <w:p>
            <w:pPr>
              <w:pStyle w:val="Compact"/>
            </w:pPr>
            <w:r>
              <w:t xml:space="preserve">Bug</w:t>
            </w:r>
          </w:p>
        </w:tc>
        <w:tc>
          <w:tcPr/>
          <w:p>
            <w:pPr>
              <w:pStyle w:val="Compact"/>
            </w:pPr>
            <w:r>
              <w:t xml:space="preserve">Ready for testing</w:t>
            </w:r>
          </w:p>
        </w:tc>
        <w:tc>
          <w:tcPr/>
          <w:p>
            <w:pPr>
              <w:pStyle w:val="Compact"/>
            </w:pPr>
            <w:r>
              <w:t xml:space="preserve">—</w:t>
            </w:r>
          </w:p>
        </w:tc>
        <w:tc>
          <w:tcPr/>
          <w:p>
            <w:pPr>
              <w:pStyle w:val="Compact"/>
            </w:pPr>
            <w:r>
              <w:t xml:space="preserve">When HelixQA runs a test bank that needs to sign in, it cannot find the access pass in the sign-in reply, so every test in that bank that needs to be signed in fails. CORRECTED MECHANISM (the original wording of this item was wrong, and the correction matters): the reply carries the real access pass at the top level under the name token, while the separate bookkeeping reference for the session sits NESTED one level down inside a session object. The runner looked for the bookkeeping name at the top level only, found nothing there, and stopped with a plain complaint that the field was missing. It therefore never handed the server a wrong value and was never turned away for using one — it failed before making a single signed-in request. The original text described it as picking the wrong value and being rejected, which is not what happens; the reported counts in that text were nonetheless correct. A SECOND PLACE FAILED SILENTLY: the API validation step had its own copy of the same assumption with no way to override it, and when it could not find the pass it simply carried on without one, so every later request went out unsigned and the resulting rejections were recorded as faults in the service being tested rather than as a failure to sign in — which is why this looked like a broken service. WHY THE OBVIOUS FIX WAS WRONG: the bookkeeping name is the CORRECT name for a different family of about fourteen banks that target a separate catalogue service, whose access pass genuinely does sit at the top level under that name. Simply swapping the two names would have repaired one product by breaking every catalogue bank. The fix keeps the existing name first and adds fallbacks tried only when it is absent or empty, plus support for reaching a nested location, and reports clearly when nothing usable is found. HOW TO REPRODUCE: run a bank requiring sign-in against the platform and observe the run stop with a missing-field complaint before any signed-in request is made. MEASURED OUTCOME: the bank used for measurement went from six passing and four failing to eight passing and two failing. The two that remain are unrelated to signing in and pre-date this work: one posts an empty body where the service expects content, and the other collides with a leftover record created by the very measurement run that produced this item’s original figures, because that bank does not clean up after itself. That leftover is also why the originally reported nine-and-one is no longer reproducible. ACCEPTANCE CRITERIA: banks needing sign-in authenticate against both service families without configuration changes; a failure to find a usable pass is reported as its own explicit finding rather than as service faults; no credential value ever appears in a message or log; and a standing test proves the behaviour, shown real by a paired mutation that makes it fail.</w:t>
            </w:r>
          </w:p>
        </w:tc>
      </w:tr>
      <w:tr>
        <w:tc>
          <w:tcPr/>
          <w:p>
            <w:pPr>
              <w:pStyle w:val="Compact"/>
            </w:pPr>
            <w:r>
              <w:t xml:space="preserve">HXC-240</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tc>
      </w:tr>
      <w:tr>
        <w:tc>
          <w:tcPr/>
          <w:p>
            <w:pPr>
              <w:pStyle w:val="Compact"/>
            </w:pPr>
            <w:r>
              <w:t xml:space="preserve">HXC-241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tc>
      </w:tr>
      <w:tr>
        <w:tc>
          <w:tcPr/>
          <w:p>
            <w:pPr>
              <w:pStyle w:val="Compact"/>
            </w:pPr>
            <w:r>
              <w:t xml:space="preserve">HXC-242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tc>
      </w:tr>
      <w:tr>
        <w:tc>
          <w:tcPr/>
          <w:p>
            <w:pPr>
              <w:pStyle w:val="Compact"/>
            </w:pPr>
            <w:r>
              <w:t xml:space="preserve">HXC-243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tc>
      </w:tr>
      <w:tr>
        <w:tc>
          <w:tcPr/>
          <w:p>
            <w:pPr>
              <w:pStyle w:val="Compact"/>
            </w:pPr>
            <w:r>
              <w:t xml:space="preserve">HXC-245</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blocked work item (HXC-172) has its explanation stored in the database but no longer has that same explanation written into its own descriptive text, and the two are supposed to agree. The tracker rebuilds those stored explanations FROM the descriptive text every time it regenerates its records, so an explanation that exists only in the database and not in the text is discarded the next time the tracker runs a full regeneration. That is what happens today: a regenerate-and-reread cycle drops it, and the tracker’s own validation then correctly reports the item as blocked-without-an-explanation. This matters because that explanation is what makes a blocked item actionable — it records what is blocked, what was already tried, and which decision would unblock it; losing it turns a tracked decision waiting on a person into an item nobody can act on. The operator benefits by keeping the context needed to make the blocking decision, and future contributors can see why the item stalled. The expected outcome is that the item’s descriptive text carries its explanation again, the stored and written copies agree, and a regenerate-and-reread cycle preserves it — proven by the tracker’s validation passing on the regenerated records.</w:t>
            </w:r>
          </w:p>
        </w:tc>
      </w:tr>
      <w:tr>
        <w:tc>
          <w:tcPr/>
          <w:p>
            <w:pPr>
              <w:pStyle w:val="Compact"/>
            </w:pPr>
            <w:r>
              <w:t xml:space="preserve">HXC-246</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tc>
      </w:tr>
      <w:tr>
        <w:tc>
          <w:tcPr/>
          <w:p>
            <w:pPr>
              <w:pStyle w:val="Compact"/>
            </w:pPr>
            <w:r>
              <w:t xml:space="preserve">HXC-247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 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tc>
      </w:tr>
      <w:tr>
        <w:tc>
          <w:tcPr/>
          <w:p>
            <w:pPr>
              <w:pStyle w:val="Compact"/>
            </w:pPr>
            <w:r>
              <w:t xml:space="preserve">HXC-248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p>
        </w:tc>
      </w:tr>
      <w:tr>
        <w:tc>
          <w:tcPr/>
          <w:p>
            <w:pPr>
              <w:pStyle w:val="Compact"/>
            </w:pPr>
            <w:r>
              <w:t xml:space="preserve">HXC-250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tc>
      </w:tr>
      <w:tr>
        <w:tc>
          <w:tcPr/>
          <w:p>
            <w:pPr>
              <w:pStyle w:val="Compact"/>
            </w:pPr>
            <w:r>
              <w:t xml:space="preserve">HXC-251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tc>
      </w:tr>
      <w:tr>
        <w:tc>
          <w:tcPr/>
          <w:p>
            <w:pPr>
              <w:pStyle w:val="Compact"/>
            </w:pPr>
            <w:r>
              <w:t xml:space="preserve">HXC-254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tc>
      </w:tr>
      <w:tr>
        <w:tc>
          <w:tcPr/>
          <w:p>
            <w:pPr>
              <w:pStyle w:val="Compact"/>
            </w:pPr>
            <w:r>
              <w:t xml:space="preserve">HXC-255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tc>
      </w:tr>
      <w:tr>
        <w:tc>
          <w:tcPr/>
          <w:p>
            <w:pPr>
              <w:pStyle w:val="Compact"/>
            </w:pPr>
            <w:r>
              <w:t xml:space="preserve">HXC-256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tc>
      </w:tr>
      <w:tr>
        <w:tc>
          <w:tcPr/>
          <w:p>
            <w:pPr>
              <w:pStyle w:val="Compact"/>
            </w:pPr>
            <w:r>
              <w:t xml:space="preserve">HXC-257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tc>
      </w:tr>
      <w:tr>
        <w:tc>
          <w:tcPr/>
          <w:p>
            <w:pPr>
              <w:pStyle w:val="Compact"/>
            </w:pPr>
            <w:r>
              <w:t xml:space="preserve">HXC-258</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tc>
      </w:tr>
      <w:tr>
        <w:tc>
          <w:tcPr/>
          <w:p>
            <w:pPr>
              <w:pStyle w:val="Compact"/>
            </w:pPr>
            <w:r>
              <w:t xml:space="preserve">HXC-259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tc>
      </w:tr>
      <w:tr>
        <w:tc>
          <w:tcPr/>
          <w:p>
            <w:pPr>
              <w:pStyle w:val="Compact"/>
            </w:pPr>
            <w:r>
              <w:t xml:space="preserve">HXC-260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Kubernetes manifests for HelixAgent told everyone that the gRPC service lives on port 9090, and they set an environment variable called GRPC_PORT to make it so. Neither half was true. No Go source in the repository reads GRPC_PORT, so setting it could never move the port the server listens on; this was proven at runtime, where GRPC_PORT=36999 still bound :8112 while the real variable HELIXAGENT_PORT_GRPC=36999 bound :36999. And 9090 is a port no HelixAgent process ever binds: the gRPC server resolves its port from the internal/ports registry (HelixAgentGRPC, core band offset 112), which is 8112 — confirmed by running the built cmd/grpc-server binary and observing its LISTEN socket on *:8112. The practical effect is that anyone deploying HelixAgent to Kubernetes from these manifests would get a Deployment exposing containerPort 9090, a Service forwarding gRPC traffic to targetPort 9090, and a NetworkPolicy admitting traffic on 9090 — three artifacts agreeing with each other and all pointing at a port nothing listens on, while the port the server would actually bind was blocked. The damage is worse than a wrong number because the manifest LOOKED configurable: an operator who noticed the problem and edited GRPC_PORT would see no change whatsoever, defeating their own debugging. This item covers correcting all four manifests that name the port (deployment.yaml, service.yaml, networkpolicy.yaml, configmap.yaml) onto the registry port and replacing the dead variable with the one the server honours. It also records the honest remaining limitation: the image this Deployment runs is built from cmd/helixagent, which contains no gRPC server at all (that is a separate binary, cmd/grpc-server), so the endpoint is now correct but INERT until a grpc-server container is added to the pod — a follow-up that the corrected manifests make a one-line change instead of a re-derivation. Reproduce by checking out the pre-fix tree and running the polarity test in internal/ports with RED_MODE=1, which asserts the dead variable and containerPort 9090 are present. Acceptance criteria: internal/ports/published_grpc_port_test.go passes with RED_MODE unset (asserting every manifest names the registry port and none sets the dead variable outside a comment) and fails on the pre-fix tree, citing deployment.yaml line 32.</w:t>
            </w:r>
          </w:p>
        </w:tc>
      </w:tr>
      <w:tr>
        <w:tc>
          <w:tcPr/>
          <w:p>
            <w:pPr>
              <w:pStyle w:val="Compact"/>
            </w:pPr>
            <w:r>
              <w:t xml:space="preserve">HXC-261</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The challenge script that is supposed to prove HelixAgent’s gRPC protocol works was structurally incapable of failing, and it has been reporting green for the entire time it has existed. Two independent faults compounded. First, it resolved its port from an environment variable named HELIXAGENT_GRPC_PORT defaulting to 7062 — a third spelling that no Go source reads (the server honours HELIXAGENT_PORT_GRPC) and a number belonging to no service in the project: not the old hardcoded 50051, not the registry’s 8112, not the HTTP port 7061. Second, and far worse, every one of its four probes recorded a successful assertion whether the port answered or not: the port-availability check recorded true when the port was listening AND recorded true, labelled</w:t>
            </w:r>
            <w:r>
              <w:t xml:space="preserve"> </w:t>
            </w:r>
            <w:r>
              <w:t xml:space="preserve">‘optional’</w:t>
            </w:r>
            <w:r>
              <w:t xml:space="preserve">, when it was not; the unary-call, streaming-call and error-handling checks did the same. The two faults together mean the challenge dialled an address no HelixAgent process has ever bound, found nothing there, and then certified the gRPC protocol healthy. This is the most damaging class of defect in the codebase because it is not merely an untested feature — it is an automated test actively producing false-green results, which is exactly what the anti-bluff covenant exists to prevent, and it masks any real gRPC breakage from everyone reading the suite. It also violated the challenge framework’s own documented contract: the framework already ships a record_skip helper whose docstring says never to use record_assertion with status true to mask a missing feature, and the primitive was simply not used. This item covers resolving the port through the registry’s own variable name and default, consolidating the four duplicated probe sites into one helper so absence is interpreted in exactly one place, making absence report as an honest SKIP carrying a SKIP-OK ticket rather than success, making a real failed call report as FAILED, and replacing the two-state final verdict (which reported PASSED whenever nothing had failed, including when nothing had been verified) with a three-state verdict that reports SKIPPED when no assertion could be verified. Reproduce with the guard at challenges/scripts/tests/protocol_grpc_fail_open_guard.sh run with RED_MODE=1 against the pre-fix script: it binds and releases a port to prove it is free, drives the challenge’s own probe functions against it, and confirms assertions are recorded PASSED anyway. Acceptance criteria: that same guard with RED_MODE=0 reports zero PASSED assertions against a proven-free port with every probe SKIPPED and SKIP-OK tagged, and the challenge still records a genuine PASSED assertion when a real gRPC server is listening on the registry port.</w:t>
            </w:r>
          </w:p>
        </w:tc>
      </w:tr>
      <w:tr>
        <w:tc>
          <w:tcPr/>
          <w:p>
            <w:pPr>
              <w:pStyle w:val="Compact"/>
            </w:pPr>
            <w:r>
              <w:t xml:space="preserve">HXC-262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project keeps a battery of tests whose whole job is to prove its safety checks actually catch problems, by deliberately breaking things and confirming each check notices. One assertion in that battery — the one covering a service stuck in a restart loop — occasionally reports a problem when nothing is wrong. It was seen once across thirteen consecutive runs, and ran correctly six times out of six when run on its own, so it is intermittent rather than consistently broken. The cause is a timing flaw inside the safety check itself: it asks the system two separate questions, whether the service is running and which process is running it, and between those two questions a fast-restarting service can move on, so the two answers describe different moments and disagree. When that happens the check cannot find a process to examine and reports that it could not verify anything. The practical harm is not a missed defect but a false alarm: work gets blocked on a condition that is not present, and worse, people who see a check cry wolf learn to ignore it, which quietly erodes the value of the one battery specifically built to be trustworthy. The fix is to read both pieces of information in a single query so they always describe the same instant. This was deliberately left unfixed by the reviewer who found it because it changes the sampling behaviour of a check that was itself under review at the time, and such a change deserves its own review rather than being folded into someone else’s batch.</w:t>
            </w:r>
          </w:p>
        </w:tc>
      </w:tr>
      <w:tr>
        <w:tc>
          <w:tcPr/>
          <w:p>
            <w:pPr>
              <w:pStyle w:val="Compact"/>
            </w:pPr>
            <w:r>
              <w:t xml:space="preserve">HXC-263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project keeps a folder of tests whose purpose is to verify that its safety checks genuinely work, by deliberately introducing a fault and confirming the corresponding check reports a failure. A test like that only has value if something actually runs it. Counting the invocations at the current revision, only two of the fourteen files in that folder are ever executed by anything; the remaining twelve are written, maintained, and never run. This is the same problem the project already found and fixed once before, when three safety checks turned out to exist but be executed by nothing, and it matters for the same reason: a check nobody runs cannot fail, so it certifies nothing while appearing to provide coverage. The presence of these files is actively misleading, because anyone counting test files sees protection that is not being exercised. A careless count makes it look better than it is — five of the files are mentioned somewhere, but three of those mentions are a comment, an entry in a skip list, and a line of prose in a status document, none of which run anything. Resolving this means deciding for each of the twelve whether to wire it into the release sweep so it runs, or to retire it honestly, and then making the choice visible rather than leaving the file sitting there implying coverage it does not deliver.</w:t>
            </w:r>
          </w:p>
        </w:tc>
      </w:tr>
      <w:tr>
        <w:tc>
          <w:tcPr/>
          <w:p>
            <w:pPr>
              <w:pStyle w:val="Compact"/>
            </w:pPr>
            <w:r>
              <w:t xml:space="preserve">HXC-264</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single entry in the project’s work tracker manages to describe the same problem three different ways in three different fields, and the three descriptions do not agree. One field says a required program is not installed on the machine at all, another says the program exists but cannot be found because of where the service looks for it, and a third says no such file exists anywhere on the system. Those are materially different problems with different fixes, so a reader cannot tell from the entry what was actually wrong. The entry also proposes a remedy, giving the service a direct path to the missing program, which is not what was eventually done: the capability was restored by routing requests to a different service that was already running, and the originally-named program is still absent from the machine today. This matters because the tracker is the permanent record of what was reported and why, and an entry that contradicts itself cannot serve that purpose for anyone reviewing the history later. It is not a case of the documents drifting out of step with the database, which is a problem the project already guards against; the rendered documents faithfully reproduce what the database holds, and the inconsistency is inside the database entry itself. Resolving it means reconciling the three fields into one accurate account that records both what was originally observed and how it was actually resolved, without erasing the original report.</w:t>
            </w:r>
          </w:p>
        </w:tc>
      </w:tr>
      <w:tr>
        <w:tc>
          <w:tcPr/>
          <w:p>
            <w:pPr>
              <w:pStyle w:val="Compact"/>
            </w:pPr>
            <w:r>
              <w:t xml:space="preserve">HXC-265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HelixAgent keeps 36 Go modules nested inside its repository (37 counting the root module). Most of them are never compiled by anything the test suite or any gate runs, which means a developer can rename a package, change a shared type, or break an import inside one and every build and test still reports green — the breakage surfaces much later, or never. That silent-failure surface is what this item tracks, and it matters most for the documentation samples, because the project anti-bluff checklist promises that a documentation example works when copy-pasted and an example nothing ever compiles cannot honour that promise. WHO IS AFFECTED: developers who trust a green build, and readers who copy a documentation example expecting it to compile. THE COUNTS, each verifiable by one command (the quotes are load-bearing — unquoted, the shell expands the pattern before git sees it and reports 2 instead of 36): inside submodules/helix_agent,</w:t>
            </w:r>
            <w:r>
              <w:t xml:space="preserve"> </w:t>
            </w:r>
            <w:r>
              <w:rPr>
                <w:rStyle w:val="VerbatimChar"/>
              </w:rPr>
              <w:t xml:space="preserve">git ls-files '*/go.mod' \| wc -l</w:t>
            </w:r>
            <w:r>
              <w:t xml:space="preserve"> </w:t>
            </w:r>
            <w:r>
              <w:t xml:space="preserve">reports 36 nested modules, and</w:t>
            </w:r>
            <w:r>
              <w:t xml:space="preserve"> </w:t>
            </w:r>
            <w:r>
              <w:rPr>
                <w:rStyle w:val="VerbatimChar"/>
              </w:rPr>
              <w:t xml:space="preserve">git ls-files 'challenges/codebase/go_files/*/go.mod' \| wc -l</w:t>
            </w:r>
            <w:r>
              <w:t xml:space="preserve"> </w:t>
            </w:r>
            <w:r>
              <w:t xml:space="preserve">reports the 6 that the Makefile build-challenge-modules recipe walks. By directory the 36 are 23 under docs/, 6 under challenges/, 2 under plugins/, 2 under docker/, and one each under Toolkit/, pkg/, and cli_agents/. THE CLASSIFICATION IS PER-MODULE, NOT AN AGGREGATE — two earlier revisions of this item stated a single wrong total because</w:t>
            </w:r>
            <w:r>
              <w:t xml:space="preserve"> </w:t>
            </w:r>
            <w:r>
              <w:t xml:space="preserve">“is it compiled”</w:t>
            </w:r>
            <w:r>
              <w:t xml:space="preserve"> </w:t>
            </w:r>
            <w:r>
              <w:t xml:space="preserve">cannot be answered by any one command, so each class below carries its own evidence. (1) NO COMPILE PATH AT ALL — 25 modules: the 23 under docs/ and the 2 under plugins/; nothing anywhere compiles them, the three challenge scripts touching the plugins pair only run presence checks (test -f, grep -q), and root-level go build cannot reach any of them because Go does not cross nested-module boundaries. (2) COMPILED ONLY INSIDE UN-GATED CONTAINER IMAGES — 2 modules: docker/acp and docker/protocol-discovery, declared as build contexts in docker-compose.protocols.yml and running a real go build in their Dockerfiles, but no test suite or gate exercises those image builds and compose rebuilds only when the image is absent, so breakage surfaces late and non-deterministically rather than never. (3) FULLY INSIDE THE GATED BUILD — 1 module, pkg/api: it is required and replaced in the root go.mod, imported by cmd/grpc-server/main.go with no build tags, and built for four platforms by ci/scripts/ci-go.sh whose failures increment PHASE_FAILURES and set the exit code. It is NOT part of the problem set and needs no work. Note for future readers:</w:t>
            </w:r>
            <w:r>
              <w:t xml:space="preserve"> </w:t>
            </w:r>
            <w:r>
              <w:rPr>
                <w:rStyle w:val="VerbatimChar"/>
              </w:rPr>
              <w:t xml:space="preserve">go list ./pkg/api</w:t>
            </w:r>
            <w:r>
              <w:t xml:space="preserve"> </w:t>
            </w:r>
            <w:r>
              <w:t xml:space="preserve">prints</w:t>
            </w:r>
            <w:r>
              <w:t xml:space="preserve"> </w:t>
            </w:r>
            <w:r>
              <w:t xml:space="preserve">“main module does not contain package”</w:t>
            </w:r>
            <w:r>
              <w:t xml:space="preserve">, which is a true output but answers package-pattern membership rather than whether the module is ever compiled — an earlier revision of this item mistook the one for the other. (4) PARTIALLY INSIDE THE GATED BUILD — 1 module, Toolkit: internal/verifier/startup.go imports Toolkit/Providers/Chutes, which transitively pulls in three more Toolkit packages, so at least 4 of its 21 package directories compile on every root build while roughly 17 remain outside. (5) DELIBERATELY EXCLUDED WITH A RECORDED REASON AND A GUARD — 1 module, cli_agents: its go.mod is the HXC-139 isolation marker whose header documents why the vendored tree must not be compiled, paired with the regression guard at tests/regression/cli_agents_isolation_test.go. It already satisfies this item’s second acceptance arm and is terminal. ACCEPTANCE CRITERIA: every module in classes (1), (2) and the un-compiled remainder of (4) is either wired into a build or compile-check target the test suite actually runs, or deliberately excluded with a recorded reason in the manner of class (5); and a gate fails when a new nested module appears that is neither built nor explicitly excluded.</w:t>
            </w:r>
          </w:p>
        </w:tc>
      </w:tr>
      <w:tr>
        <w:tc>
          <w:tcPr/>
          <w:p>
            <w:pPr>
              <w:pStyle w:val="Compact"/>
            </w:pPr>
            <w:r>
              <w:t xml:space="preserve">HXC-266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function that builds the URL clients use to reach HelixAgent formats the address as</w:t>
            </w:r>
            <w:r>
              <w:t xml:space="preserve"> </w:t>
            </w:r>
            <w:r>
              <w:t xml:space="preserve">“http://%s:%d”</w:t>
            </w:r>
            <w:r>
              <w:t xml:space="preserve"> </w:t>
            </w:r>
            <w:r>
              <w:t xml:space="preserve">without ever bracketing the host, so any IPv6 host literal produces a malformed URL. WHY THIS IS REACHABLE RATHER THAN THEORETICAL: the resolver layer deliberately treats the IPv6 loopback ::1 as a valid, dialable host and blesses it, so a configuration that sets the host to ::1 passes every validation and then reaches this formatter. HOW IT MANIFESTS: the emitted address becomes http://::1:7061, which is not a parseable URL — the colons of the address and the colon of the port are indistinguishable to any URL parser, so the client fails to connect with a confusing parse error rather than a clear configuration error. WHO IS AFFECTED: any operator running the platform on an IPv6-only or IPv6-preferred host, and any deployment that resolves the agent host to an IPv6 literal instead of a name. HOW TO REPRODUCE: set the agent client host to ::1, request the client base URL, and observe the returned string is http://::1:7061 rather than the correct bracketed form http://[::1]:7061. ACCEPTANCE CRITERIA: the builder brackets IPv6 literals per RFC 3986 so ::1 yields http://[::1]:7061, IPv4 and hostnames are unchanged, and a regression test covers IPv6 literal, bracketed input that must not be double-bracketed, IPv4, and hostname cases.</w:t>
            </w:r>
          </w:p>
        </w:tc>
      </w:tr>
      <w:tr>
        <w:tc>
          <w:tcPr/>
          <w:p>
            <w:pPr>
              <w:pStyle w:val="Compact"/>
            </w:pPr>
            <w:r>
              <w:t xml:space="preserve">HXC-267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HelixQA signs in to run an API test bank and the server answers with a success code but a reply the runner cannot read at all, the runner goes quiet: it records nothing about the sign-in, carries on making requests with no credentials, and files the resulting rejections as faults in the API being tested rather than as its own failure to log in. A sibling fix (HXC-239) closed this for the case where the reply is readable data with the credential under an unexpected name — that path now raises a clear finding naming what it looked for. This item covers the door that fix left open. HOW IT MANIFESTS: the run looks like the tested service is broken, when in fact the runner never authenticated; whoever reads the report is sent to investigate the wrong system, which is the same misdiagnosis the sibling fix existed to prevent. WHY IT HAPPENS: the code that raises the explanatory finding is nested inside the branch taken only when the reply parses as structured data, and that branch has no counterpart for when parsing fails, so an unparseable reply skips the reporting entirely. MEASURED BEHAVIOUR (each case run directly against the code): a reply of empty text fails to parse and is silent; a reply of HTML such as a 503 error page fails to parse and is silent; a reply of the literal null parses and correctly raises the finding; a reply of an empty data object parses and correctly raises the finding. So the split is precisely between replies that parse and replies that do not, not between replies that carry a credential and replies that do not. HOW TO REPRODUCE: point the pipeline at a test server whose sign-in route returns status 200 with a body of empty text or HTML, run the API validation step, and observe that no sign-in finding is recorded while the later unauthenticated requests are recorded as API faults. WHO IS AFFECTED: anyone reading a HelixQA report for a service whose sign-in route can return a non-data body, including error pages produced by a proxy or gateway in front of the real service. ACCEPTANCE CRITERIA: an unparseable sign-in reply raises the same class of explanatory finding as an unusable one, naming what was attempted and the fact the body could not be read; the message never contains credential values; and a standing test covers the empty-body and non-data-body cases, proven real by a paired mutation that removes the new reporting and makes that test fail.</w:t>
            </w:r>
          </w:p>
        </w:tc>
      </w:tr>
      <w:tr>
        <w:tc>
          <w:tcPr/>
          <w:p>
            <w:pPr>
              <w:pStyle w:val="Compact"/>
            </w:pPr>
            <w:r>
              <w:t xml:space="preserve">HXC-268</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model verifier builds web addresses by pasting a host and a port together with a colon, without the square brackets that IPv6 addresses require, so any deployment whose host is an IPv6 address produces addresses no client can read. WHO IS AFFECTED: operators on IPv6-first hosts, and any deployment where the configured host is an address rather than a name. WHY IT IS REACHABLE: the generator stores whatever host it is given with no validation, so an IPv6 value passes straight through to the formatting step. HOW IT MANIFESTS: the emitted address looks like http://::1:8100, which no address parser can read because the colons of the address are indistinguishable from the colon introducing the port; the client then fails with a confusing parsing complaint instead of a clear configuration message, sending whoever debugs it toward the wrong system. HOW MANY PLACES, AND A CORRECTION WORTH RECORDING: the capability-config generator contains FIFTEEN such build sites, one in each of fifteen per-agent generator functions, every one reachable from the single dispatch that selects an agent by name. An earlier revision of this item said three. That was wrong in a specific and instructive way: the fifteen sites use only three distinct format SHAPES (nine ending in a version segment, five plain, one ending in a messages segment), and three example line numbers offered by an upstream report were recorded as if they were the complete set. Shapes were counted as places. Had the earlier figure stood, the acceptance criteria would have certified this closed with twelve sites still broken. HOW TO REPRODUCE THE COUNT: inside the verifier submodule, count occurrences of the formatting pattern in the capability-config generator file; it reports fifteen, while listing the distinct pattern texts reports three. RECOMMENDED FIX DIRECTION: do not hand-bracket fifteen places. Concurrent in-flight work on the submodule is introducing a shared endpoint helper whose address builder brackets IPv6 correctly using the standard library join, including zone handling — but that helper is NOT YET part of any committed state of the submodule, so a fresh clone does not have it and nobody should expect to find it there today. Once it lands, route these fifteen sites through it, which fixes them uniformly and prevents a sixteenth from being written wrong. Coordinate with that work before starting. SCOPE NOTE SO A FIXER IS NOT MISLED: the capability-config generator is not the whole surface. The same unbracketed pattern appears in at least nine further files elsewhere in the submodule, including several per-agent config writers and two unrelated subsystems. Those are outside this item deliberately, but a fixer should know the capability generator is one region rather than the entire problem. ACCEPTANCE CRITERIA: all fifteen sites in the capability-config generator produce properly bracketed addresses for IPv6 literals; plain names and IPv4 addresses are unchanged; an already-bracketed value is not bracketed twice; a standing test covers the IPv6 literal, already-bracketed, IPv4 and hostname cases and is proven real by a paired mutation that removes the bracketing and makes the test fail; and the count of remaining unbracketed sites in that file is zero, verified by the same command that produced the fifteen.</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2026-08-11T09:33:34Z</dcterms:created>
  <dcterms:modified xsi:type="dcterms:W3CDTF">2026-08-11T09:33:34Z</dcterms:modified>
</cp:coreProperties>
</file>

<file path=docProps/custom.xml><?xml version="1.0" encoding="utf-8"?>
<Properties xmlns="http://schemas.openxmlformats.org/officeDocument/2006/custom-properties" xmlns:vt="http://schemas.openxmlformats.org/officeDocument/2006/docPropsVTypes"/>
</file>