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w:t>
      </w:r>
      <w:r>
        <w:t xml:space="preserve">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acfd8175778407bd04dfb9a1241ccb1037e533"/>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 'pending', but the value it reads is one that a background worker is racing to change to 'running' at that very moment. The server hands the JSON encoder the same live session object the worker mutates, so whether the response says 'pending' or 'running' 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1"/>
    <w:bookmarkStart w:id="12" w:name="Xf8cb1549c2c73dc3e8c19abcb8f0278a6f41d59"/>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2"/>
    <w:bookmarkStart w:id="14" w:name="Xea845998b82264e5c7e1ed57168b3e171680689"/>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w:t>
      </w:r>
      <w:hyperlink r:id="rId13">
        <w:r>
          <w:rPr>
            <w:rStyle w:val="Hyperlink"/>
          </w:rPr>
          <w:t xml:space="preserve">git@github.com</w:t>
        </w:r>
      </w:hyperlink>
      <w:r>
        <w:t xml:space="preserve">:HelixDevelopment/skills.git)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w:t>
      </w:r>
      <w:r>
        <w:t xml:space="preserve"> </w:t>
      </w:r>
      <w:hyperlink r:id="rId13">
        <w:r>
          <w:rPr>
            <w:rStyle w:val="Hyperlink"/>
          </w:rPr>
          <w:t xml:space="preserve">git@github.com</w:t>
        </w:r>
      </w:hyperlink>
      <w:r>
        <w:t xml:space="preserve">:HelixDevelopment/skills.git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p>
    <w:p>
      <w:pPr>
        <w:pStyle w:val="Compact"/>
        <w:numPr>
          <w:ilvl w:val="0"/>
          <w:numId w:val="1001"/>
        </w:numPr>
      </w:pPr>
      <w:r>
        <w:t xml:space="preserve">GitHub SpecKit IS installed at /home/milos/.local/bin/specify. It is NOT yet initialized in this repo (no .specify/ and no specs/ directory present). Initialization is therefore an explicit early task, not an assumption.</w:t>
      </w:r>
    </w:p>
    <w:p>
      <w:pPr>
        <w:pStyle w:val="Compact"/>
        <w:numPr>
          <w:ilvl w:val="0"/>
          <w:numId w:val="1001"/>
        </w:numPr>
      </w:pPr>
      <w:hyperlink r:id="rId13">
        <w:r>
          <w:rPr>
            <w:rStyle w:val="Hyperlink"/>
          </w:rPr>
          <w:t xml:space="preserve">git@github.com</w:t>
        </w:r>
      </w:hyperlink>
      <w:r>
        <w:t xml:space="preserve">:HelixDevelopment/skills.git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p>
    <w:p>
      <w:pPr>
        <w:pStyle w:val="Compact"/>
        <w:numPr>
          <w:ilvl w:val="0"/>
          <w:numId w:val="1001"/>
        </w:numPr>
      </w:pPr>
      <w:r>
        <w:t xml:space="preserve">The repository is NOT currently a submodule of this project.</w:t>
      </w:r>
      <w:r>
        <w:t xml:space="preserve"> </w:t>
      </w:r>
      <w:r>
        <w:rPr>
          <w:rStyle w:val="VerbatimChar"/>
        </w:rPr>
        <w:t xml:space="preserve">.gitmodules</w:t>
      </w:r>
      <w:r>
        <w:t xml:space="preserve"> </w:t>
      </w:r>
      <w:r>
        <w:t xml:space="preserve">contains no HelixDevelopment/skills entry; the only 'skills'-matching entry is cli_agents/codex-skills -&gt; vasic-digital/caf-codex-skills.git, which is a DIFFERENT repository and must not be confused with it.</w:t>
      </w:r>
    </w:p>
    <w:p>
      <w:pPr>
        <w:pStyle w:val="Compact"/>
        <w:numPr>
          <w:ilvl w:val="0"/>
          <w:numId w:val="1001"/>
        </w:numPr>
      </w:pPr>
      <w:r>
        <w:t xml:space="preserve">Both consumers exist in-tree: the inner Go module helix_code/ (module dev.helix.code) and the submodule submodules/helix_agent (module dev.helix.agent).</w:t>
      </w:r>
    </w:p>
    <w:p>
      <w:pPr>
        <w:pStyle w:val="FirstParagraph"/>
      </w:pPr>
      <w:r>
        <w:t xml:space="preserve">MANDATORY DELIVERY CONSTRAINTS:</w:t>
      </w:r>
    </w:p>
    <w:p>
      <w:pPr>
        <w:pStyle w:val="Compact"/>
        <w:numPr>
          <w:ilvl w:val="0"/>
          <w:numId w:val="1002"/>
        </w:numPr>
      </w:pPr>
      <w:r>
        <w:t xml:space="preserve">SpecKit-first: use GitHub SpecKit for ALL phases of the incorporation, bridged to Superpowers for implementation, executed subagent-driven (§11.4.70 / §11.4.20).</w:t>
      </w:r>
    </w:p>
    <w:p>
      <w:pPr>
        <w:pStyle w:val="Compact"/>
        <w:numPr>
          <w:ilvl w:val="0"/>
          <w:numId w:val="1002"/>
        </w:numPr>
      </w:pPr>
      <w:r>
        <w:t xml:space="preserve">Exhaustive plan structured as phases -&gt; tasks -&gt; subtasks, with an exhaustive level of detail (down to lines-of-code and micro-POCs where the design is load-bearing).</w:t>
      </w:r>
    </w:p>
    <w:p>
      <w:pPr>
        <w:pStyle w:val="Compact"/>
        <w:numPr>
          <w:ilvl w:val="0"/>
          <w:numId w:val="1002"/>
        </w:numPr>
      </w:pPr>
      <w:r>
        <w:t xml:space="preserve">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p>
    <w:p>
      <w:pPr>
        <w:pStyle w:val="Compact"/>
        <w:numPr>
          <w:ilvl w:val="0"/>
          <w:numId w:val="1002"/>
        </w:numPr>
      </w:pPr>
      <w:r>
        <w:t xml:space="preserve">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p>
    <w:p>
      <w:pPr>
        <w:pStyle w:val="Compact"/>
        <w:numPr>
          <w:ilvl w:val="0"/>
          <w:numId w:val="1002"/>
        </w:numPr>
      </w:pPr>
      <w:r>
        <w:t xml:space="preserve">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p>
    <w:p>
      <w:pPr>
        <w:pStyle w:val="Compact"/>
        <w:numPr>
          <w:ilvl w:val="0"/>
          <w:numId w:val="1002"/>
        </w:numPr>
      </w:pPr>
      <w:r>
        <w:t xml:space="preserve">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p>
    <w:p>
      <w:pPr>
        <w:pStyle w:val="Compact"/>
        <w:numPr>
          <w:ilvl w:val="0"/>
          <w:numId w:val="1002"/>
        </w:numPr>
      </w:pPr>
      <w:r>
        <w:t xml:space="preserve">Cross-consumer parity: HelixCode and HelixAgent must BOTH receive the full feature set; a capability landing in one and not the other is an incompleteness to be tracked, not silently accepted.</w:t>
      </w:r>
    </w:p>
    <w:p>
      <w:pPr>
        <w:pStyle w:val="Compact"/>
        <w:numPr>
          <w:ilvl w:val="0"/>
          <w:numId w:val="1002"/>
        </w:numPr>
      </w:pPr>
      <w:r>
        <w:t xml:space="preserve">Progress tracked through the continuation docs, the memory/knowledge/remembering mechanisms, and the workable-items SSoT (§12.10 / §11.4.131 / §11.4.93 / §11.4.95).</w:t>
      </w:r>
    </w:p>
    <w:p>
      <w:pPr>
        <w:pStyle w:val="FirstParagraph"/>
      </w:pPr>
      <w:r>
        <w:t xml:space="preserve">ACCEPTANCE CRITERIA:</w:t>
      </w:r>
    </w:p>
    <w:p>
      <w:pPr>
        <w:pStyle w:val="Compact"/>
        <w:numPr>
          <w:ilvl w:val="0"/>
          <w:numId w:val="1003"/>
        </w:numPr>
      </w:pPr>
      <w:r>
        <w:t xml:space="preserve">A SpecKit specification exists and is initialized in-repo, covering every HelixSkills power-feature, with an explicit feature inventory proven complete against the upstream repository (an enumerated list, not a sample — §11.4.118).</w:t>
      </w:r>
    </w:p>
    <w:p>
      <w:pPr>
        <w:pStyle w:val="Compact"/>
        <w:numPr>
          <w:ilvl w:val="0"/>
          <w:numId w:val="1003"/>
        </w:numPr>
      </w:pPr>
      <w:r>
        <w:t xml:space="preserve">A phase/task/subtask implementation plan exists at the stated depth, with each risk item paired to a concrete mitigation.</w:t>
      </w:r>
    </w:p>
    <w:p>
      <w:pPr>
        <w:pStyle w:val="Compact"/>
        <w:numPr>
          <w:ilvl w:val="0"/>
          <w:numId w:val="1003"/>
        </w:numPr>
      </w:pPr>
      <w:r>
        <w:t xml:space="preserve">Every planned capability is wired and end-user-reachable in BOTH consumers, proven by §11.4.108 runtime signatures on a clean target — not merely compiled.</w:t>
      </w:r>
    </w:p>
    <w:p>
      <w:pPr>
        <w:pStyle w:val="Compact"/>
        <w:numPr>
          <w:ilvl w:val="0"/>
          <w:numId w:val="1003"/>
        </w:numPr>
      </w:pPr>
      <w:r>
        <w:t xml:space="preserve">The full §11.4.169 test-type matrix is green with captured evidence, Challenges and HelixQA banks included.</w:t>
      </w:r>
    </w:p>
    <w:p>
      <w:pPr>
        <w:pStyle w:val="Compact"/>
        <w:numPr>
          <w:ilvl w:val="0"/>
          <w:numId w:val="1003"/>
        </w:numPr>
      </w:pPr>
      <w:r>
        <w:t xml:space="preserve">All documentation is updated and exported, with the produced diagrams/illustrations incorporated, and reachable from README.</w:t>
      </w:r>
    </w:p>
    <w:p>
      <w:pPr>
        <w:pStyle w:val="Compact"/>
        <w:numPr>
          <w:ilvl w:val="0"/>
          <w:numId w:val="1003"/>
        </w:numPr>
      </w:pPr>
      <w:r>
        <w:t xml:space="preserve">Independent code review reaches a zero-finding GO per §11.4.125 / §11.4.134 / §11.4.142.</w:t>
      </w:r>
    </w:p>
    <w:p>
      <w:pPr>
        <w:pStyle w:val="Compact"/>
        <w:numPr>
          <w:ilvl w:val="0"/>
          <w:numId w:val="1003"/>
        </w:numPr>
      </w:pPr>
      <w:r>
        <w:t xml:space="preserve">No capability is claimed without runtime evidence — the anti-bluff covenant governs every closure (§11.4 / §11.4.1 / §11.4.123).</w:t>
      </w:r>
    </w:p>
    <w:p>
      <w:pPr>
        <w:pStyle w:val="FirstParagraph"/>
      </w:pPr>
      <w:r>
        <w:t xml:space="preserve">§11.4.213 FEATURE research-and-planning WORK PROGRAM (scheduled, not yet executed):</w:t>
      </w:r>
    </w:p>
    <w:p>
      <w:pPr>
        <w:pStyle w:val="BodyText"/>
      </w:pPr>
      <w:r>
        <w:t xml:space="preserve">(a) Deep web-research series (articles / guides / scientific papers / open-source projects+codebases / real-world examples) on the best way to incorporate this feature into the project (§11.4.8 / §11.4.99 / §11.4.150).</w:t>
      </w:r>
      <w:r>
        <w:t xml:space="preserve"> </w:t>
      </w:r>
      <w:r>
        <w:t xml:space="preserve">(b) Systematic-debug (§11.4.102) of ALL data obtained to enumerate EVERY weak spot / gap / danger-zone / inconsistency / imperfection, and design a risk-free, rock-solid solution for EACH one found.</w:t>
      </w:r>
      <w:r>
        <w:t xml:space="preserve"> </w:t>
      </w:r>
      <w:r>
        <w:t xml:space="preserve">(c) The design MUST ALWAYS be enterprise-grade, bleeding-edge, and innovative -- never less.</w:t>
      </w:r>
      <w:r>
        <w:t xml:space="preserve"> </w:t>
      </w:r>
      <w:r>
        <w:t xml:space="preserve">(d) MANDATORY exhaustive documentation: many technical documents, an implementation plan down to lines-of-code + micro-proof-of-concepts, diagrams / schemes / graphs, illustrations, SQL definitions, templates, and every other relevant material (§11.4.65 / §11.4.73).</w:t>
      </w:r>
      <w:r>
        <w:t xml:space="preserve"> </w:t>
      </w:r>
      <w:r>
        <w:t xml:space="preserve">(e) Investigate + plan REUSE of existing vasic-digital + HelixDevelopment submodules/components BEFORE proposing a rewrite; extend them freely where genuinely needed while keeping them fully decoupled / project-not-aware / reusable (§11.4.28 / §11.4.74 / §11.4.177).</w:t>
      </w:r>
      <w:r>
        <w:t xml:space="preserve"> </w:t>
      </w:r>
      <w:r>
        <w:t xml:space="preserve">(f) Plan from the TESTING point of view from day one: every supported test type, the Challenges submodule, and full HelixQA bank coverage (§11.4.27 / §11.4.169).</w:t>
      </w:r>
      <w:r>
        <w:t xml:space="preserve"> </w:t>
      </w:r>
      <w:r>
        <w:t xml:space="preserve">(g) Divide the work into phases / tasks / subtasks, fine-grained and nano-detailed enough to drive integration / implementation / wiring / testing / scaling directly.</w:t>
      </w:r>
      <w:r>
        <w:t xml:space="preserve"> </w:t>
      </w:r>
      <w:r>
        <w:t xml:space="preserve">(h) Plan explicitly for enterprise scalability and maximal performance.</w:t>
      </w:r>
      <w:r>
        <w:t xml:space="preserve"> </w:t>
      </w:r>
      <w:r>
        <w:t xml:space="preserve">(i) When the feature has a UI/UX surface, produce full wireframes / diagrams / design files (Figma / PSD / PDF, or whatever the project mandates) authored via OpenDesign (§11.4.162 / §11.4.190).</w:t>
      </w:r>
      <w:r>
        <w:t xml:space="preserve"> </w:t>
      </w:r>
      <w:r>
        <w:t xml:space="preserve">(j) Plan full CodeGraph integration with regular / real-time index synchronisation (§11.4.78 / §11.4.79 / §11.4.80).</w:t>
      </w:r>
      <w:r>
        <w:t xml:space="preserve"> </w:t>
      </w:r>
      <w:r>
        <w:t xml:space="preserve">(k)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BodyText"/>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 "Make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4"/>
    <w:bookmarkStart w:id="15" w:name="X05ab28ea8d67bc5b10f627b7239eebf30e75853"/>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5"/>
    <w:bookmarkStart w:id="16" w:name="X8601289ed96ea38f66e6e49d2e1453c2444eaf6"/>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6"/>
    <w:bookmarkStart w:id="17" w:name="X8c6c29d618d8bba2938bfc7148e39c863f39839"/>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
    <w:bookmarkStart w:id="18" w:name="X27511dff5528f82aab8208d524b4da1c5b9386b"/>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mailto:git@github.com" TargetMode="External" /></Relationships>
</file>

<file path=word/_rels/footnotes.xml.rels><?xml version="1.0" encoding="UTF-8"?><Relationships xmlns="http://schemas.openxmlformats.org/package/2006/relationships"><Relationship Type="http://schemas.openxmlformats.org/officeDocument/2006/relationships/hyperlink" Id="rId13" Target="mailto:git@githu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2026-07-28T19:59:45Z</dcterms:created>
  <dcterms:modified xsi:type="dcterms:W3CDTF">2026-07-28T19:59:45Z</dcterms:modified>
</cp:coreProperties>
</file>

<file path=docProps/custom.xml><?xml version="1.0" encoding="utf-8"?>
<Properties xmlns="http://schemas.openxmlformats.org/officeDocument/2006/custom-properties" xmlns:vt="http://schemas.openxmlformats.org/officeDocument/2006/docPropsVTypes"/>
</file>