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Queued</w:t>
            </w:r>
          </w:p>
        </w:tc>
        <w:tc>
          <w:tcPr/>
          <w:p>
            <w:pPr>
              <w:pStyle w:val="Compact"/>
            </w:pPr>
            <w:r>
              <w:t xml:space="preserve">5</w:t>
            </w:r>
          </w:p>
        </w:tc>
      </w:tr>
      <w:tr>
        <w:tc>
          <w:tcPr/>
          <w:p>
            <w:pPr>
              <w:pStyle w:val="Compact"/>
            </w:pPr>
            <w:r>
              <w:t xml:space="preserve">Task</w:t>
            </w:r>
          </w:p>
        </w:tc>
        <w:tc>
          <w:tcPr/>
          <w:p>
            <w:pPr>
              <w:pStyle w:val="Compact"/>
            </w:pPr>
            <w:r>
              <w:t xml:space="preserve">Queued</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7</w:t>
            </w:r>
          </w:p>
        </w:tc>
      </w:tr>
    </w:tbl>
    <w:bookmarkEnd w:id="9"/>
    <w:bookmarkStart w:id="11" w:name="items"/>
    <w:p>
      <w:pPr>
        <w:pStyle w:val="Heading2"/>
      </w:pPr>
      <w:r>
        <w:t xml:space="preserve">Items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HXC-154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QA-session test checks that a freshly started session reports the status 'pending', but the value it reads is one that a background worker is racing to change to 'running' at that very moment. The server hands the JSON encoder the same live session object the worker mutates, so whether the response says 'pending' or 'running' 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tc>
      </w:tr>
      <w:tr>
        <w:tc>
          <w:tcPr/>
          <w:p>
            <w:pPr>
              <w:pStyle w:val="Compact"/>
            </w:pPr>
            <w:r>
              <w:t xml:space="preserve">HXC-158</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tc>
      </w:tr>
      <w:tr>
        <w:tc>
          <w:tcPr/>
          <w:p>
            <w:pPr>
              <w:pStyle w:val="Compact"/>
            </w:pPr>
            <w:r>
              <w:t xml:space="preserve">HXC-159</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r>
              <w:t xml:space="preserve"> </w:t>
            </w:r>
            <w:r>
              <w:rPr>
                <w:b/>
                <w:bCs/>
              </w:rPr>
              <w:t xml:space="preserve">What (the report, verbatim):</w:t>
            </w:r>
            <w:r>
              <w:t xml:space="preserve"> </w:t>
            </w:r>
            <w:r>
              <w:t xml:space="preserve">Feature description (verbatim): Fully incorporate the HelixSkills System (</w:t>
            </w:r>
            <w:hyperlink r:id="rId10">
              <w:r>
                <w:rPr>
                  <w:rStyle w:val="Hyperlink"/>
                </w:rPr>
                <w:t xml:space="preserve">git@github.com</w:t>
              </w:r>
            </w:hyperlink>
            <w:r>
              <w:t xml:space="preserve">:HelixDevelopment/skills.git) into BOTH HelixCode and HelixAgent, covering ALL of its power-features with nothing left out. VERBATIM OPERATOR REQUIREMENTS (2026-07-29): "Fully incorporate into HelixCode and HelixAgent the HelixSkills System for all work with Skills:</w:t>
            </w:r>
            <w:r>
              <w:t xml:space="preserve"> </w:t>
            </w:r>
            <w:hyperlink r:id="rId10">
              <w:r>
                <w:rPr>
                  <w:rStyle w:val="Hyperlink"/>
                </w:rPr>
                <w:t xml:space="preserve">git@github.com</w:t>
              </w:r>
            </w:hyperlink>
            <w:r>
              <w:t xml:space="preserve">:HelixDevelopment/skills.git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 PRE-VERIFIED ENVIRONMENT FACTS (established 2026-07-29, not assumed — §11.4.6): - GitHub SpecKit IS installed at /home/milos/.local/bin/specify. It is NOT yet initialized in this repo (no .specify/ and no specs/ directory present). Initialization is therefore an explicit early task, not an assumption. -</w:t>
            </w:r>
            <w:r>
              <w:t xml:space="preserve"> </w:t>
            </w:r>
            <w:hyperlink r:id="rId10">
              <w:r>
                <w:rPr>
                  <w:rStyle w:val="Hyperlink"/>
                </w:rPr>
                <w:t xml:space="preserve">git@github.com</w:t>
              </w:r>
            </w:hyperlink>
            <w:r>
              <w:t xml:space="preserve">:HelixDevelopment/skills.git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 - The repository is NOT currently a submodule of this project.</w:t>
            </w:r>
            <w:r>
              <w:t xml:space="preserve"> </w:t>
            </w:r>
            <w:r>
              <w:rPr>
                <w:rStyle w:val="VerbatimChar"/>
              </w:rPr>
              <w:t xml:space="preserve">.gitmodules</w:t>
            </w:r>
            <w:r>
              <w:t xml:space="preserve"> </w:t>
            </w:r>
            <w:r>
              <w:t xml:space="preserve">contains no HelixDevelopment/skills entry; the only 'skills'-matching entry is cli_agents/codex-skills -&gt; vasic-digital/caf-codex-skills.git, which is a DIFFERENT repository and must not be confused with it. - Both consumers exist in-tree: the inner Go module helix_code/ (module dev.helix.code) and the submodule submodules/helix_agent (module dev.helix.agent). MANDATORY DELIVERY CONSTRAINTS: - SpecKit-first: use GitHub SpecKit for ALL phases of the incorporation, bridged to Superpowers for implementation, executed subagent-driven (§11.4.70 / §11.4.20). - Exhaustive plan structured as phases -&gt; tasks -&gt; subtasks, with an exhaustive level of detail (down to lines-of-code and micro-POCs where the design is load-bearing). -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 - Documentation: extend AND update every existing doc, user manual, guide and FAQ — not only new ones. Produce illustrations, graphs and diagrams and incorporate them into all materials. Four-format export discipline per §11.4.65 / §11.4.153. Every doc reachable from the main README per §11.4.212. -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 -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 - Cross-consumer parity: HelixCode and HelixAgent must BOTH receive the full feature set; a capability landing in one and not the other is an incompleteness to be tracked, not silently accepted. - Progress tracked through the continuation docs, the memory/knowledge/remembering mechanisms, and the workable-items SSoT (§12.10 / §11.4.131 / §11.4.93 / §11.4.95). ACCEPTANCE CRITERIA: 1. A SpecKit specification exists and is initialized in-repo, covering every HelixSkills power-feature, with an explicit feature inventory proven complete against the upstream repository (an enumerated list, not a sample — §11.4.118). 2. A phase/task/subtask implementation plan exists at the stated depth, with each risk item paired to a concrete mitigation. 3. Every planned capability is wired and end-user-reachable in BOTH consumers, proven by §11.4.108 runtime signatures on a clean target — not merely compiled. 4. The full §11.4.169 test-type matrix is green with captured evidence, Challenges and HelixQA banks included. 5. All documentation is updated and exported, with the produced diagrams/illustrations incorporated, and reachable from README. 6. Independent code review reaches a zero-finding GO per §11.4.125 / §11.4.134 / §11.4.142. 7. No capability is claimed without runtime evidence — the anti-bluff covenant governs every closure (§11.4 / §11.4.1 / §11.4.123). §11.4.213 FEATURE research-and-planning WORK PROGRAM (scheduled, not yet executed): (a) Deep web-research series (articles / guides / scientific papers / open-source projects+codebases / real-world examples) on the best way to incorporate this feature into the project (§11.4.8 / §11.4.99 / §11.4.150). (b) Systematic-debug (§11.4.102) of ALL data obtained to enumerate EVERY weak spot / gap / danger-zone / inconsistency / imperfection, and design a risk-free, rock-solid solution for EACH one found. (c) The design MUST ALWAYS be enterprise-grade, bleeding-edge, and innovative -- never less. (d) MANDATORY exhaustive documentation: many technical documents, an implementation plan down to lines-of-code + micro-proof-of-concepts, diagrams / schemes / graphs, illustrations, SQL definitions, templates, and every other relevant material (§11.4.65 / §11.4.73). (e) Investigate + plan REUSE of existing vasic-digital + HelixDevelopment submodules/components BEFORE proposing a rewrite; extend them freely where genuinely needed while keeping them fully decoupled / project-not-aware / reusable (§11.4.28 / §11.4.74 / §11.4.177). (f) Plan from the TESTING point of view from day one: every supported test type, the Challenges submodule, and full HelixQA bank coverage (§11.4.27 / §11.4.169). (g) Divide the work into phases / tasks / subtasks, fine-grained and nano-detailed enough to drive integration / implementation / wiring / testing / scaling directly. (h) Plan explicitly for enterprise scalability and maximal performance. (i) When the feature has a UI/UX surface, produce full wireframes / diagrams / design files (Figma / PSD / PDF, or whatever the project mandates) authored via OpenDesign (§11.4.162 / §11.4.190). (j) Plan full CodeGraph integration with regular / real-time index synchronisation (§11.4.78 / §11.4.79 / §11.4.80). (k) 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 Research-doc destination (to be populated when this item is worked): docs/research/fully_incorporate_the_helixskills_system_into_helixcode_heli_20260728T192622Z_2557683/ 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r>
              <w:t xml:space="preserve"> </w:t>
            </w:r>
            <w:r>
              <w:rPr>
                <w:b/>
                <w:bCs/>
              </w:rPr>
              <w:t xml:space="preserve">Affected scope / file-scope manifest:</w:t>
            </w:r>
            <w:r>
              <w:t xml:space="preserve"> </w:t>
            </w:r>
            <w:r>
              <w:t xml:space="preserve">Feature research/planning -- destination: docs/research/fully_incorporate_the_helixskills_system_into_helixcode_heli_20260728T192622Z_2557683/</w:t>
            </w:r>
            <w:r>
              <w:t xml:space="preserve"> </w:t>
            </w:r>
            <w:r>
              <w:rPr>
                <w:b/>
                <w:bCs/>
              </w:rPr>
              <w:t xml:space="preserve">Reproduction / context:</w:t>
            </w:r>
            <w:r>
              <w:t xml:space="preserve"> </w:t>
            </w:r>
            <w:r>
              <w:t xml:space="preserve">UNKNOWN: not stated in the report — a reproduction MUST be established before any fix (§11.4.102 / §11.4.146 / §11.4.199)</w:t>
            </w:r>
            <w:r>
              <w:t xml:space="preserve"> </w:t>
            </w: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 === ADDENDUM — BINDING OPERATOR REQUIREMENT (2026-07-29, added after scheduling) === VERBATIM: "Make sure that SpecKit and Superpowers are used with Bridge extension and with all extensons we have created derrived from constitution Submodule!" This is not optional colour on the SpecKit mandate — it names specific existing assets that this work MUST compose with rather than duplicate (§11.4.74 extend-don't-reimplement). THE BRIDGE EXTENSION (verified to exist, 2026-07-29): constitution/docs/research/extensions/speckit_superpowers/implementation/ — the "Helix Constitution-Powered SpecKit-Superpowers Bridge". Eight documents, each in .md/.html/.pdf/.docx: README, IMPLEMENTATION_PLAN, NANO_TASK_ENGINE, EXTENSION_DEVELOPMENT, TDD_INTEGRATION, CONSTITUTION_INTEGRATION, SECURITY, APPENDIX. It defines a SEVEN-LAYER architecture: 1 Developer Workstation 2 Spec-Kit Core (governance) 3 SuperSpec bridge (orchestration — github.com/WangX0111/superspec) 4 SuperB extension (discipline enforcement — speckit-community.github.io/extensions/superb) 5 SuperBridge MCP (execution) 6 Helix LLM (inference — github.com/HelixDevelopment/helix_llm) 7 Distributed host cluster (llama.cpp RPC) CONSTITUTION-DERIVED EXTENSIONS THAT MUST BE IN SCOPE (inherited BY REFERENCE per §11.4.228 — never copied locally, a copy diverges silently): constitution/skills/ (7) action-prefix-system, media-validator, multitrack, reporting-workable-items, scheduled-work-queue, session-sync, workable-item-lifecycle constitution/mcp/ (2) media-validator-mcp.json, scheduled-work-mcp.json constitution/plugins/ (2) helix, scheduled-work constitution/actions/ registry.yaml (§11.4.140 action system), subagent_tiering.yaml constitution/scripts/hooks/ (7 live) action_prefix_expand.sh, credential_scan_lib.sh, guard-branch-consistency.sh, guard-forbidden-commands.sh, guard-track-branch-label.sh, guard-work-track-binding.sh, post-merge ALREADY PRESENT LOCALLY — do not re-create: .claude/skills/ 10 registered speckit-* skills (analyze, checklist, clarify, constitution, converge, implement, plan, specify, tasks, taskstoissues) .specify/ workflows/speckit/workflow.yml, integrations/{claude,speckit}.manifest.json, scripts/bash/, templates/, memory/ ADDED ACCEPTANCE CRITERIA: 8. Every constitution-derived extension above has an explicit disposition — reused, extended, or orthogonal-with-reason. Silence is not an answer (§11.4.118). 9. Each of the 7 Bridge layers is classified WIRED vs DESIGNED-ONLY with a captured probe. A design document existing is NOT evidence a layer is installed — that is precisely the §11.4.108 SOURCE-vs-RUNTIME gap, and reporting a documented layer as an available one would be a §11.4 bluff. 10. The skill-namespace collision risk is addressed with a designed mitigation: HelixSkills is itself a skills system, while §11.4.164's post_update_hook.sh already registers constitution skills into .claude/skills/. Two systems registering into one namespace needs defined precedence and clash handling, not discovery at runtime. 11. SuperSpec and SuperB are THIRD-PARTY, non-own-org dependencies (§11.4.74 vendor path) — their health, maintenance status and supply-chain exposure must be assessed, not assumed from the design doc referencing them.</w:t>
            </w:r>
          </w:p>
        </w:tc>
      </w:tr>
      <w:tr>
        <w:tc>
          <w:tcPr/>
          <w:p>
            <w:pPr>
              <w:pStyle w:val="Compact"/>
            </w:pPr>
            <w:r>
              <w:t xml:space="preserve">HXC-160</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tc>
      </w:tr>
      <w:tr>
        <w:tc>
          <w:tcPr/>
          <w:p>
            <w:pPr>
              <w:pStyle w:val="Compact"/>
            </w:pPr>
            <w:r>
              <w:t xml:space="preserve">HXC-161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tc>
      </w:tr>
      <w:tr>
        <w:tc>
          <w:tcPr/>
          <w:p>
            <w:pPr>
              <w:pStyle w:val="Compact"/>
            </w:pPr>
            <w:r>
              <w:t xml:space="preserve">HXC-162</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tc>
      </w:tr>
      <w:tr>
        <w:tc>
          <w:tcPr/>
          <w:p>
            <w:pPr>
              <w:pStyle w:val="Compact"/>
            </w:pPr>
            <w:r>
              <w:t xml:space="preserve">HXC-163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tc>
      </w:tr>
    </w:tbl>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mailto:git@github.com" TargetMode="External" /></Relationships>
</file>

<file path=word/_rels/footnotes.xml.rels><?xml version="1.0" encoding="UTF-8"?><Relationships xmlns="http://schemas.openxmlformats.org/package/2006/relationships"><Relationship Type="http://schemas.openxmlformats.org/officeDocument/2006/relationships/hyperlink" Id="rId10" Target="mailto:git@github.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2026-07-28T19:59:46Z</dcterms:created>
  <dcterms:modified xsi:type="dcterms:W3CDTF">2026-07-28T19:59:46Z</dcterms:modified>
</cp:coreProperties>
</file>

<file path=docProps/custom.xml><?xml version="1.0" encoding="utf-8"?>
<Properties xmlns="http://schemas.openxmlformats.org/officeDocument/2006/custom-properties" xmlns:vt="http://schemas.openxmlformats.org/officeDocument/2006/docPropsVTypes"/>
</file>