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215</w:t>
            </w:r>
          </w:p>
        </w:tc>
      </w:tr>
      <w:tr>
        <w:tc>
          <w:tcPr/>
          <w:p>
            <w:pPr>
              <w:pStyle w:val="Compact"/>
            </w:pPr>
            <w:r>
              <w:t xml:space="preserve">Bug</w:t>
            </w:r>
          </w:p>
        </w:tc>
        <w:tc>
          <w:tcPr/>
          <w:p>
            <w:pPr>
              <w:pStyle w:val="Compact"/>
            </w:pPr>
            <w:r>
              <w:t xml:space="preserve">Obsolete (→ Fixed.md)</w:t>
            </w:r>
          </w:p>
        </w:tc>
        <w:tc>
          <w:tcPr/>
          <w:p>
            <w:pPr>
              <w:pStyle w:val="Compact"/>
            </w:pPr>
            <w:r>
              <w:t xml:space="preserve">4</w:t>
            </w:r>
          </w:p>
        </w:tc>
      </w:tr>
      <w:tr>
        <w:tc>
          <w:tcPr/>
          <w:p>
            <w:pPr>
              <w:pStyle w:val="Compact"/>
            </w:pPr>
            <w:r>
              <w:t xml:space="preserve">Feature</w:t>
            </w:r>
          </w:p>
        </w:tc>
        <w:tc>
          <w:tcPr/>
          <w:p>
            <w:pPr>
              <w:pStyle w:val="Compact"/>
            </w:pPr>
            <w:r>
              <w:t xml:space="preserve">Implemented (→ Fixed.md)</w:t>
            </w:r>
          </w:p>
        </w:tc>
        <w:tc>
          <w:tcPr/>
          <w:p>
            <w:pPr>
              <w:pStyle w:val="Compact"/>
            </w:pPr>
            <w:r>
              <w:t xml:space="preserve">95</w:t>
            </w:r>
          </w:p>
        </w:tc>
      </w:tr>
      <w:tr>
        <w:tc>
          <w:tcPr/>
          <w:p>
            <w:pPr>
              <w:pStyle w:val="Compact"/>
            </w:pPr>
            <w:r>
              <w:t xml:space="preserve">Task</w:t>
            </w:r>
          </w:p>
        </w:tc>
        <w:tc>
          <w:tcPr/>
          <w:p>
            <w:pPr>
              <w:pStyle w:val="Compact"/>
            </w:pPr>
            <w:r>
              <w:t xml:space="preserve">Completed (→ Fixed.md)</w:t>
            </w:r>
          </w:p>
        </w:tc>
        <w:tc>
          <w:tcPr/>
          <w:p>
            <w:pPr>
              <w:pStyle w:val="Compact"/>
            </w:pPr>
            <w:r>
              <w:t xml:space="preserve">84</w:t>
            </w:r>
          </w:p>
        </w:tc>
      </w:tr>
      <w:tr>
        <w:tc>
          <w:tcPr/>
          <w:p>
            <w:pPr>
              <w:pStyle w:val="Compact"/>
            </w:pPr>
            <w:r>
              <w:t xml:space="preserve">Task</w:t>
            </w:r>
          </w:p>
        </w:tc>
        <w:tc>
          <w:tcPr/>
          <w:p>
            <w:pPr>
              <w:pStyle w:val="Compact"/>
            </w:pPr>
            <w:r>
              <w:t xml:space="preserve">Fixed (→ Fixed.md)</w:t>
            </w:r>
          </w:p>
        </w:tc>
        <w:tc>
          <w:tcPr/>
          <w:p>
            <w:pPr>
              <w:pStyle w:val="Compact"/>
            </w:pPr>
            <w:r>
              <w:t xml:space="preserve">3</w:t>
            </w:r>
          </w:p>
        </w:tc>
      </w:tr>
      <w:tr>
        <w:tc>
          <w:tcPr/>
          <w:p>
            <w:pPr>
              <w:pStyle w:val="Compact"/>
            </w:pPr>
            <w:r>
              <w:rPr>
                <w:b/>
                <w:bCs/>
              </w:rPr>
              <w:t xml:space="preserve">TOTAL</w:t>
            </w:r>
          </w:p>
        </w:tc>
        <w:tc>
          <w:tcPr/>
          <w:p>
            <w:pPr>
              <w:pStyle w:val="Compact"/>
            </w:pPr>
          </w:p>
        </w:tc>
        <w:tc>
          <w:tcPr/>
          <w:p>
            <w:pPr>
              <w:pStyle w:val="Compact"/>
            </w:pPr>
            <w:r>
              <w:rPr>
                <w:b/>
                <w:bCs/>
              </w:rPr>
              <w:t xml:space="preserve">401</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HXC-119 — 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296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HXC-122 — 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299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300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301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307</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HXC-136 — 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313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HXC-138 — 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315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HXC-144 — 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321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HXC-145 — 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322</w:t>
            </w:r>
          </w:p>
        </w:tc>
        <w:tc>
          <w:tcPr/>
          <w:p>
            <w:pPr>
              <w:pStyle w:val="Compact"/>
            </w:pPr>
            <w:r>
              <w:t xml:space="preserve">Medium</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HXC-146 — 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323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HXC-147 — 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r>
        <w:tc>
          <w:tcPr/>
          <w:p>
            <w:pPr>
              <w:pStyle w:val="Compact"/>
            </w:pPr>
            <w:r>
              <w:t xml:space="preserve">324</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HXC-148 — 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r>
        <w:tc>
          <w:tcPr/>
          <w:p>
            <w:pPr>
              <w:pStyle w:val="Compact"/>
            </w:pPr>
            <w:r>
              <w:t xml:space="preserve">325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HXC-149 — 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tc>
      </w:tr>
      <w:tr>
        <w:tc>
          <w:tcPr/>
          <w:p>
            <w:pPr>
              <w:pStyle w:val="Compact"/>
            </w:pPr>
            <w:r>
              <w:t xml:space="preserve">326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HXC-150 — 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tc>
      </w:tr>
      <w:tr>
        <w:tc>
          <w:tcPr/>
          <w:p>
            <w:pPr>
              <w:pStyle w:val="Compact"/>
            </w:pPr>
            <w:r>
              <w:t xml:space="preserve">327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HXC-151 — 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tc>
      </w:tr>
      <w:tr>
        <w:tc>
          <w:tcPr/>
          <w:p>
            <w:pPr>
              <w:pStyle w:val="Compact"/>
            </w:pPr>
            <w:r>
              <w:t xml:space="preserve">328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HXC-152 — 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tc>
      </w:tr>
      <w:tr>
        <w:tc>
          <w:tcPr/>
          <w:p>
            <w:pPr>
              <w:pStyle w:val="Compact"/>
            </w:pPr>
            <w:r>
              <w:t xml:space="preserve">329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HXC-153 — 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tc>
      </w:tr>
      <w:tr>
        <w:tc>
          <w:tcPr/>
          <w:p>
            <w:pPr>
              <w:pStyle w:val="Compact"/>
            </w:pPr>
            <w:r>
              <w:t xml:space="preserve">330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HXC-154 — 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tc>
      </w:tr>
      <w:tr>
        <w:tc>
          <w:tcPr/>
          <w:p>
            <w:pPr>
              <w:pStyle w:val="Compact"/>
            </w:pPr>
            <w:r>
              <w:t xml:space="preserve">331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HXC-155 — 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tc>
      </w:tr>
      <w:tr>
        <w:tc>
          <w:tcPr/>
          <w:p>
            <w:pPr>
              <w:pStyle w:val="Compact"/>
            </w:pPr>
            <w:r>
              <w:t xml:space="preserve">332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HXC-156 — 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tc>
      </w:tr>
      <w:tr>
        <w:tc>
          <w:tcPr/>
          <w:p>
            <w:pPr>
              <w:pStyle w:val="Compact"/>
            </w:pPr>
            <w:r>
              <w:t xml:space="preserve">333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HXC-157 — 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tc>
      </w:tr>
      <w:tr>
        <w:tc>
          <w:tcPr/>
          <w:p>
            <w:pPr>
              <w:pStyle w:val="Compact"/>
            </w:pPr>
            <w:r>
              <w:t xml:space="preserve">334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HXC-158 — 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tc>
      </w:tr>
      <w:tr>
        <w:tc>
          <w:tcPr/>
          <w:p>
            <w:pPr>
              <w:pStyle w:val="Compact"/>
            </w:pPr>
            <w:r>
              <w:t xml:space="preserve">335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HXC-160 — 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tc>
      </w:tr>
      <w:tr>
        <w:tc>
          <w:tcPr/>
          <w:p>
            <w:pPr>
              <w:pStyle w:val="Compact"/>
            </w:pPr>
            <w:r>
              <w:t xml:space="preserve">336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HXC-161 — 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tc>
      </w:tr>
      <w:tr>
        <w:tc>
          <w:tcPr/>
          <w:p>
            <w:pPr>
              <w:pStyle w:val="Compact"/>
            </w:pPr>
            <w:r>
              <w:t xml:space="preserve">337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HXC-162 — 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tc>
      </w:tr>
      <w:tr>
        <w:tc>
          <w:tcPr/>
          <w:p>
            <w:pPr>
              <w:pStyle w:val="Compact"/>
            </w:pPr>
            <w:r>
              <w:t xml:space="preserve">338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HXC-163 — 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tc>
      </w:tr>
      <w:tr>
        <w:tc>
          <w:tcPr/>
          <w:p>
            <w:pPr>
              <w:pStyle w:val="Compact"/>
            </w:pPr>
            <w:r>
              <w:t xml:space="preserve">339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HXC-165 — 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tc>
      </w:tr>
      <w:tr>
        <w:tc>
          <w:tcPr/>
          <w:p>
            <w:pPr>
              <w:pStyle w:val="Compact"/>
            </w:pPr>
            <w:r>
              <w:t xml:space="preserve">340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HXC-167 — 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tc>
      </w:tr>
      <w:tr>
        <w:tc>
          <w:tcPr/>
          <w:p>
            <w:pPr>
              <w:pStyle w:val="Compact"/>
            </w:pPr>
            <w:r>
              <w:t xml:space="preserve">341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HXC-169 — 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tc>
      </w:tr>
      <w:tr>
        <w:tc>
          <w:tcPr/>
          <w:p>
            <w:pPr>
              <w:pStyle w:val="Compact"/>
            </w:pPr>
            <w:r>
              <w:t xml:space="preserve">342</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HXC-170 — 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tc>
      </w:tr>
      <w:tr>
        <w:tc>
          <w:tcPr/>
          <w:p>
            <w:pPr>
              <w:pStyle w:val="Compact"/>
            </w:pPr>
            <w:r>
              <w:t xml:space="preserve">343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HXC-173 — 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tc>
      </w:tr>
      <w:tr>
        <w:tc>
          <w:tcPr/>
          <w:p>
            <w:pPr>
              <w:pStyle w:val="Compact"/>
            </w:pPr>
            <w:r>
              <w:t xml:space="preserve">344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HXC-174 — 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tc>
      </w:tr>
      <w:tr>
        <w:tc>
          <w:tcPr/>
          <w:p>
            <w:pPr>
              <w:pStyle w:val="Compact"/>
            </w:pPr>
            <w:r>
              <w:t xml:space="preserve">345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HXC-176 — 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tc>
      </w:tr>
      <w:tr>
        <w:tc>
          <w:tcPr/>
          <w:p>
            <w:pPr>
              <w:pStyle w:val="Compact"/>
            </w:pPr>
            <w:r>
              <w:t xml:space="preserve">346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HXC-177 — 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tc>
      </w:tr>
      <w:tr>
        <w:tc>
          <w:tcPr/>
          <w:p>
            <w:pPr>
              <w:pStyle w:val="Compact"/>
            </w:pPr>
            <w:r>
              <w:t xml:space="preserve">347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HXC-182 — 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tc>
      </w:tr>
      <w:tr>
        <w:tc>
          <w:tcPr/>
          <w:p>
            <w:pPr>
              <w:pStyle w:val="Compact"/>
            </w:pPr>
            <w:r>
              <w:t xml:space="preserve">348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HXC-183 — 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tc>
      </w:tr>
      <w:tr>
        <w:tc>
          <w:tcPr/>
          <w:p>
            <w:pPr>
              <w:pStyle w:val="Compact"/>
            </w:pPr>
            <w:r>
              <w:t xml:space="preserve">349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HXC-184 — 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tc>
      </w:tr>
      <w:tr>
        <w:tc>
          <w:tcPr/>
          <w:p>
            <w:pPr>
              <w:pStyle w:val="Compact"/>
            </w:pPr>
            <w:r>
              <w:t xml:space="preserve">350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HXC-185 — 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tc>
      </w:tr>
      <w:tr>
        <w:tc>
          <w:tcPr/>
          <w:p>
            <w:pPr>
              <w:pStyle w:val="Compact"/>
            </w:pPr>
            <w:r>
              <w:t xml:space="preserve">351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HXC-186 — 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tc>
      </w:tr>
      <w:tr>
        <w:tc>
          <w:tcPr/>
          <w:p>
            <w:pPr>
              <w:pStyle w:val="Compact"/>
            </w:pPr>
            <w:r>
              <w:t xml:space="preserve">352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HXC-187 — 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tc>
      </w:tr>
      <w:tr>
        <w:tc>
          <w:tcPr/>
          <w:p>
            <w:pPr>
              <w:pStyle w:val="Compact"/>
            </w:pPr>
            <w:r>
              <w:t xml:space="preserve">353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HXC-193 — 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tc>
      </w:tr>
      <w:tr>
        <w:tc>
          <w:tcPr/>
          <w:p>
            <w:pPr>
              <w:pStyle w:val="Compact"/>
            </w:pPr>
            <w:r>
              <w:t xml:space="preserve">354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HXC-194 — 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tc>
      </w:tr>
      <w:tr>
        <w:tc>
          <w:tcPr/>
          <w:p>
            <w:pPr>
              <w:pStyle w:val="Compact"/>
            </w:pPr>
            <w:r>
              <w:t xml:space="preserve">355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HXC-195 — 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tc>
      </w:tr>
      <w:tr>
        <w:tc>
          <w:tcPr/>
          <w:p>
            <w:pPr>
              <w:pStyle w:val="Compact"/>
            </w:pPr>
            <w:r>
              <w:t xml:space="preserve">356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HXC-198 — 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tc>
      </w:tr>
      <w:tr>
        <w:tc>
          <w:tcPr/>
          <w:p>
            <w:pPr>
              <w:pStyle w:val="Compact"/>
            </w:pPr>
            <w:r>
              <w:t xml:space="preserve">357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HXC-199 — 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tc>
      </w:tr>
      <w:tr>
        <w:tc>
          <w:tcPr/>
          <w:p>
            <w:pPr>
              <w:pStyle w:val="Compact"/>
            </w:pPr>
            <w:r>
              <w:t xml:space="preserve">358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HXC-201 — The command the project’s manuals give for regenerating the tracker documents does not put them where it says. It builds the tool from one directory and is told to write output to a path relative to the project root, but the build step also changes the working directory, so the output lands inside the tool’s own folder instead. It prints the correct-looking destinations and reports success, leaving the real documents untouched and several hours stale, and it creates empty placeholder files in the wrong location. This replaced an earlier version of the same command that was outright invalid and failed loudly, so the situation is now worse: a visible error became a silent one. It also explains an empty database file previously found in that folder and attributed to a different mistake. The correction is to give an absolute output path, or to make the tool resolve its output against the project root regardless of where it was built, and then to update the manuals and the check that currently enforces the broken form.</w:t>
            </w:r>
          </w:p>
        </w:tc>
      </w:tr>
      <w:tr>
        <w:tc>
          <w:tcPr/>
          <w:p>
            <w:pPr>
              <w:pStyle w:val="Compact"/>
            </w:pPr>
            <w:r>
              <w:t xml:space="preserve">359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HXC-202 — A recent change taught the product to correctly format modern internet addresses when combining them with a port number. It was applied where the server decides what address to listen on, but not in the desktop application for one platform that builds the address it connects to from the very same two configuration settings. So with such an address configured, the server starts up correctly while that application constructs an unusable address and cannot reach it — a failure that looks like the server is down when it is running perfectly. A second instance exists in a maintenance tool that contacts a code-analysis service. Neither is newly broken; both were simply outside the list of places the original change examined, so nothing was made worse. This is the seventh time in one working cycle that a correct change was applied in one place and not to a sibling doing the same thing nearby, which is worth treating as a review habit rather than seven separate oversights.</w:t>
            </w:r>
          </w:p>
        </w:tc>
      </w:tr>
      <w:tr>
        <w:tc>
          <w:tcPr/>
          <w:p>
            <w:pPr>
              <w:pStyle w:val="Compact"/>
            </w:pPr>
            <w:r>
              <w:t xml:space="preserve">360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HXC-203 — The component that tracks locally-running AI model servers offers a method to report their status. Despite being named as a query, it also writes to the shared records it reports on: it overwrites each provider’s health and stamps a last-checked time on every call. Nothing coordinates those writes, and the component has no locking of any kind, so two callers asking at the same moment write over each other. This was caught by the race detector during a full test run, which does not produce false alarms, so it is a real defect rather than a timing coincidence. Two further problems compound it: the method hands back the internal collection itself instead of a copy, so every caller receives live references it can also modify; and the health check that decides the value performs network calls while holding no lock, so slow or hanging providers widen the window. The consequence for a user is a status display that reports a healthy provider as unhealthy or the reverse, and in the worst case corrupted records shared across the whole component. The fix is to protect the shared records with a lock, return a copy rather than the live collection, and separate the act of refreshing health from the act of reporting it.</w:t>
            </w:r>
          </w:p>
        </w:tc>
      </w:tr>
      <w:tr>
        <w:tc>
          <w:tcPr/>
          <w:p>
            <w:pPr>
              <w:pStyle w:val="Compact"/>
            </w:pPr>
            <w:r>
              <w:t xml:space="preserve">361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HXC-205 — A sibling component that manages automatically-selected model providers has the same defect just fixed in its counterpart, with an additional twist: this one actually declares a lock and uses it in two places, then writes provider health, process handles and last-checked times in three other places without holding it. That is arguably worse than having no lock at all, because a reader of the code sees synchronisation and reasonably assumes it is applied throughout. The consequence is the same as the defect already fixed next door — concurrent status updates overwrite each other, and a provider can be reported healthy when it has stopped or stopped when it is running. This was found by sweeping for the same pattern after fixing the first one, and it is the eighth time in this working cycle that a defect has had an unfixed twin elsewhere. The fix is the same shape as the one already proven: hold the lock around the field writes only, never across process start, process wait, or the readiness poll.</w:t>
            </w:r>
          </w:p>
        </w:tc>
      </w:tr>
      <w:tr>
        <w:tc>
          <w:tcPr/>
          <w:p>
            <w:pPr>
              <w:pStyle w:val="Compact"/>
            </w:pPr>
            <w:r>
              <w:t xml:space="preserve">362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HXC-209 — The shell tool validates each command against its security policy before running it, and does so on all three of its foreground paths. The background path does not call that check at all. Because the caller chooses background execution with an ordinary boolean flag on the same tool, anyone able to request a shell command can also request that it run in the background, and in doing so step around the entire blocklist and allowlist. The protection is therefore not merely weaker on that path, it is absent, while the tool presents the same interface and gives no indication that a different and unguarded route was taken. This was found while fixing an unrelated hang in the same function, and the agent that found it judged it more serious than the defect it had been sent to fix, which is the correct reading: a hang costs an execution slot, whereas this costs the security boundary. The fix is to route the background path through the same validation the foreground paths use, and to add a test proving a blocked command stays blocked when the background flag is set.</w:t>
            </w:r>
          </w:p>
        </w:tc>
      </w:tr>
      <w:tr>
        <w:tc>
          <w:tcPr/>
          <w:p>
            <w:pPr>
              <w:pStyle w:val="Compact"/>
            </w:pPr>
            <w:r>
              <w:t xml:space="preserve">363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HXC-210 — The shell tool accepts a working-directory parameter under one name in its published schema and in its foreground code path, but the background path reads a different name that the schema never emits. The value therefore never arrives, and every command run in the background executes in whatever directory the process happens to be in rather than the one the caller asked for. Nothing reports this: there is no error, no warning, and no fallback message, so a caller who relies on the setting to target a particular checkout or workspace will see commands quietly operate somewhere else entirely. The consequences range from confusing failures to a command succeeding against the wrong files, which is the more dangerous outcome because it looks like success. The fix is to read the same parameter name the schema publishes, and to add a test asserting that a background command actually runs in the directory it was given rather than merely accepting the parameter.</w:t>
            </w:r>
          </w:p>
        </w:tc>
      </w:tr>
      <w:tr>
        <w:tc>
          <w:tcPr/>
          <w:p>
            <w:pPr>
              <w:pStyle w:val="Compact"/>
            </w:pPr>
            <w:r>
              <w:t xml:space="preserve">364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HXC-211 — The hang just repaired was one instance of a pattern that survives in four other places in the same package, each able to park a call forever under conditions the code already permits. Two sit in the synchronous execution path and become unbounded when sandboxing is switched off or when no timeout is supplied, both of which are reachable through documented usage rather than misconfiguration. Two more sit in the output-streaming helper and are presently safe only because their single existing caller happens to rescue them, so any future caller wiring that helper the obvious way reproduces the original defect exactly. A fifth site in the background task manager amplifies all of them by calling into this code with no timeout and no way to abandon the attempt. These were found by sweeping the whole package after the fix rather than only the function named in the report, which was necessary because the reported defect and its already-fixed twin turned out to live in different files, so a reviewer re-reading the same file would have found nothing.</w:t>
            </w:r>
          </w:p>
        </w:tc>
      </w:tr>
      <w:tr>
        <w:tc>
          <w:tcPr/>
          <w:p>
            <w:pPr>
              <w:pStyle w:val="Compact"/>
            </w:pPr>
            <w:r>
              <w:t xml:space="preserve">365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HXC-212 — A configuration fix landed today made a small protocol service actually listen on the network for the first time, because previously it only ever spoke over standard input and no socket was ever opened. That fix is correct and was needed. The consequence nobody traced is that the network path it switched on tells every browser that any website at all may call it, on both the preflight and the response, and it never checks who is asking. So a weakness that was genuinely unreachable an hour ago is now reachable on a published port, and the container image selects that path by default. This is the classic pattern where a correct repair to one defect activates a second one that was only ever safe by accident, which is why a change should be assessed for what it makes reachable and not only for what it repairs. The same any-origin weakness was fixed today in two sibling services in the main repository, but that sweep could not see into this one because it lives in a separate repository, so the class was reported closed while this instance remained. The fix is the one already proven in those siblings: check the origin against a configured allowlist and reject anything else, covering both the preflight and the ordinary request.</w:t>
            </w:r>
          </w:p>
        </w:tc>
      </w:tr>
      <w:tr>
        <w:tc>
          <w:tcPr/>
          <w:p>
            <w:pPr>
              <w:pStyle w:val="Compact"/>
            </w:pPr>
            <w:r>
              <w:t xml:space="preserve">366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HXC-213 — A component that tracks the progress of a production deployment declares a lock for protecting its shared status record, and then uses that lock in exactly one place while touching the same record in seventy-eight others. This is the same shape as a defect just fixed elsewhere, and it is not speculative: a comment in the file records that a real race was previously detected here by the race detector, and the repair made at that time guarded only the single line the detector happened to point at, leaving every other access untouched. So the file now reads as though it is synchronised, which is more misleading than having no lock at all, because a reader sees the mechanism and assumes it applies. Concurrent deployment phases can therefore overwrite each other’s status, and a deployment can report a state that never occurred. The remedy is the one already proven twice in this codebase: bring every access to the shared record under the existing lock, keeping the lock away from any long-running call, and add a guard that runs under the race detector.</w:t>
            </w:r>
          </w:p>
        </w:tc>
      </w:tr>
      <w:tr>
        <w:tc>
          <w:tcPr/>
          <w:p>
            <w:pPr>
              <w:pStyle w:val="Compact"/>
            </w:pPr>
            <w:r>
              <w:t xml:space="preserve">367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HXC-214 — Four provider integrations each declare a lock and then, in a method whose name promises only to read, both modify their stored health record and hand the caller a pointer to that same record rather than a copy. Two faults follow from one line. A method that reads according to its name but writes in practice will be called freely from places that assume it is safe, so the write happens under no lock and concurrent callers overwrite each other. And because the caller receives the live pointer rather than a copy, anything it does to the value it was given silently changes the provider’s own state, which no caller could reasonably expect. The result is that a provider can be reported healthy when it is failing, or the reverse, and that an unrelated piece of code can corrupt that judgement without ever intending to touch it. The remedy matches the two fixes already landed for this pattern: perform the update under the lock and return a copy, then guard both halves with a test that fails if the returned value is ever aliased to the stored one.</w:t>
            </w:r>
          </w:p>
        </w:tc>
      </w:tr>
      <w:tr>
        <w:tc>
          <w:tcPr/>
          <w:p>
            <w:pPr>
              <w:pStyle w:val="Compact"/>
            </w:pPr>
            <w:r>
              <w:t xml:space="preserve">368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HXC-215 — The gate that checks whether each recent commit can actually be built reported a failure on two separate runs, naming a different commit each time, and in both cases the named commit builds cleanly when the gate’s own command is re-run against it in isolation. The packages it reported as broken were unrelated to anything the accused commits changed, which was the first clue. The gate has no time limit, so these were real non-zero results at the moment they happened rather than a run that was cut short. What distinguishes the gate’s own execution from a reproduction is that it builds five commits back to back, each in a fresh throwaway checkout, all of them sharing one build cache, whereas a reproduction builds one. That points at interference between those consecutive builds rather than at any defect in the code being judged, though the precise mechanism is not yet proven and should not be assumed. This matters more than an occasional wrong answer suggests, because the gate blocks releases: a check that accuses innocent work teaches people to dismiss it, and the day it is right about a genuinely broken commit that habit will let the breakage through. The work is to make the gate produce the same verdict every time it is given the same input, and to prove that by running it repeatedly against an unchanged tree.</w:t>
            </w:r>
          </w:p>
        </w:tc>
      </w:tr>
      <w:tr>
        <w:tc>
          <w:tcPr/>
          <w:p>
            <w:pPr>
              <w:pStyle w:val="Compact"/>
            </w:pPr>
            <w:r>
              <w:t xml:space="preserve">369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HXC-217 — When an item is closed, the record carries a field meant to hold the location of the captured proof, so that anyone can go and look at it and so that a machine can confirm the proof genuinely exists. For fifteen closures that field instead contains a paragraph describing what was proved. The descriptions are substantive and in every case checked the underlying evidence does exist elsewhere on disk, so nothing is actually missing and no closure is unfounded. The cost is that those fifteen cannot be verified mechanically: a check that asks whether each closure points at something real will report them as pointing at nothing, which is indistinguishable from a closure with no proof behind it at all. That ambiguity is the defect, and it matters because a sweep that cannot tell a well-documented closure from an empty one will eventually be believed about the wrong one. The work is to move the narrative into the record’s description where it belongs, put the actual location in the location field, and add a check that refuses a closure whose stated location does not resolve.</w:t>
            </w:r>
          </w:p>
        </w:tc>
      </w:tr>
      <w:tr>
        <w:tc>
          <w:tcPr/>
          <w:p>
            <w:pPr>
              <w:pStyle w:val="Compact"/>
            </w:pPr>
            <w:r>
              <w:t xml:space="preserve">370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HXC-218 — When the security scanning tool is asked to START its supporting services, it checks whether each service is healthy by building a network address from a host and a port. For ordinary addresses this works, but modern IPv6 addresses contain colons of their own, so they must be wrapped in square brackets before a port is attached. The shared container code does not do that wrapping in two places, so the address it builds is malformed and the health check can never succeed on an IPv6 machine. A companion fix already repaired the STATUS command, but START goes through a different path in the shared container library and was not covered, which means operators on IPv6 hosts still see startup fail for what looks like no reason. The obvious shortcut of pre-wrapping the address is unsafe, because another part of the same library compares the raw unwrapped form when deciding whether a service is local, and wrapping it would silently break that check. The benefit of fixing this properly is that operators running on IPv6 networks can start and monitor the scanner normally instead of hitting a confusing dead end. Success means the start command completes its health checks on an IPv6 host exactly as it does on an IPv4 one.</w:t>
            </w:r>
          </w:p>
        </w:tc>
      </w:tr>
      <w:tr>
        <w:tc>
          <w:tcPr/>
          <w:p>
            <w:pPr>
              <w:pStyle w:val="Compact"/>
            </w:pPr>
            <w:r>
              <w:t xml:space="preserve">371</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HXC-220 — A diagnostic script used to report that two parts of the project shared the same module name, when in fact they no longer did. The cause was that it looked for the shorter name inside the longer one instead of comparing the two names as wholes, so a rename that deliberately made them different was still reported as a clash. The comparison itself has been corrected and behaves properly today, but no permanent automated test was ever added to keep it correct. That matters because this exact kind of check is easy to rewrite carelessly during future cleanups, and if the loose comparison came back nobody would notice until the script again told an engineer that finished work was unfinished, risking someone undoing a correct change. The project requires every fixed defect to leave behind a standing test that fails if the defect returns, and that test is the only piece still missing here. The people who benefit are engineers relying on this diagnostic to tell them the true state of the project. Success means a registered test exists that passes on the current corrected code and fails if the loose name matching is ever reintroduced.</w:t>
            </w:r>
          </w:p>
        </w:tc>
      </w:tr>
      <w:tr>
        <w:tc>
          <w:tcPr/>
          <w:p>
            <w:pPr>
              <w:pStyle w:val="Compact"/>
            </w:pPr>
            <w:r>
              <w:t xml:space="preserve">372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HXC-221 — The agent component issues API keys for callers of its protocol service. It builds each key from sixteen bytes of cryptographic randomness, which is correct. But if the system’s randomness source ever fails to answer, the code does not stop — it silently substitutes the current clock reading and hands back a key derived from the time of day. A key made that way is guessable by anyone who can estimate when it was issued, and the caller receiving it is told nothing: it looks like an ordinary key and is accepted as one. The function is already able to report a failure to its caller, so the ability to refuse safely exists and is simply not used. The likelihood of the randomness source failing is genuinely low, which is why this has gone unnoticed, but the consequence if it does is that the service starts issuing predictable credentials with no signal that anything is wrong. Failing loudly is the correct behaviour here: a caller that receives an error can retry or abort, whereas a caller that receives a weak key has no way to know it must. The fix is to return the error instead of the clock reading, and to add a test that forces the randomness source to fail and confirms no key is produced.</w:t>
            </w:r>
          </w:p>
        </w:tc>
      </w:tr>
      <w:tr>
        <w:tc>
          <w:tcPr/>
          <w:p>
            <w:pPr>
              <w:pStyle w:val="Compact"/>
            </w:pPr>
            <w:r>
              <w:t xml:space="preserve">373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HXC-222 — The agent component has two folders of downloaded third-party libraries committed into version control: 7,870 files under its web toolkit and 1,037 under its plugin service, together about 104 megabytes. These are not our code. They are fetched automatically from a package registry using the manifest files that sit beside them, which means every one of them can be recreated on demand and none of them needs to be stored. Committing them makes every clone of the repository permanently larger and makes it hard to see our own changes among theirs, because any routine dependency update rewrites thousands of files at once. The project already has a rule against versioning anything that a documented mechanism can regenerate, and the ignore file does not currently list these folders, so nothing prevented them from being added. The fix is to stop tracking both folders, add them to the ignore file, and confirm the documented install step still reproduces them exactly on a fresh checkout — the last part matters, because removing them is only safe if the recreation path is proven to work.</w:t>
            </w:r>
          </w:p>
        </w:tc>
      </w:tr>
      <w:tr>
        <w:tc>
          <w:tcPr/>
          <w:p>
            <w:pPr>
              <w:pStyle w:val="Compact"/>
            </w:pPr>
            <w:r>
              <w:t xml:space="preserve">374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HXC-223 — Before every commit, a check scans the files being committed for markers left behind by a deliberate sabotage experiment — the kind where a working safeguard is temporarily broken to prove it really notices. Leaving such a marker in real code would be dangerous, so blocking it is correct. But the same experiment is required to record what it did, and that record necessarily quotes the sabotaged lines verbatim as its proof. The check cannot tell the difference between code that is still broken and a written account of code that was broken and then repaired, so it refuses the account. The two rules therefore contradict each other: one demands the proof be captured, the other forbids it from being stored. This is not hypothetical — it happened today and the proof file had to be left out of its own commit, which is exactly the situation where evidence quietly goes missing. The fix is to teach the check where it is looking: markers inside a recorded transcript under the evidence folder are a description of past work, while the same markers in live source are a real hazard. The check must keep refusing the second while permitting the first, and must be tested against both so it cannot drift back to refusing everything or accepting everything.</w:t>
            </w:r>
          </w:p>
        </w:tc>
      </w:tr>
      <w:tr>
        <w:tc>
          <w:tcPr/>
          <w:p>
            <w:pPr>
              <w:pStyle w:val="Compact"/>
            </w:pPr>
            <w:r>
              <w:t xml:space="preserve">375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HXC-228 — When the whole system is started from cold, the agent service checks its four mandatory dependencies and finds three of them ready but the fourth, the knowledge-graph component, still refusing connections. It treats that as fatal, prints a boot-blocked message telling the operator to start the dependencies by hand, and exits with a failure code. The supervisor then restarts it fifteen seconds later, by which time the knowledge-graph component has finished starting, and the second attempt succeeds. The end state looks healthy, so the failure is easy to miss entirely, but every cold boot produces a genuine crash, a failure entry in the system log, and fifteen seconds during which the agent is unavailable. The cause is that the service unit does not declare that it must wait for the knowledge-graph component, so the supervisor is free to start them at the same moment and the race is decided by whichever finishes first. The instruction the service prints when it fails is also misleading: it tells the operator to start the dependencies manually, when in fact they are already starting and simply have not finished. The fix is to declare the ordering so the supervisor waits, and to make the dependency check tolerate a component that is still coming up rather than treating slow startup as permanent absence.</w:t>
            </w:r>
          </w:p>
        </w:tc>
      </w:tr>
      <w:tr>
        <w:tc>
          <w:tcPr/>
          <w:p>
            <w:pPr>
              <w:pStyle w:val="Compact"/>
            </w:pPr>
            <w:r>
              <w:t xml:space="preserve">376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HXC-229 — The multi-provider routing gateway starts in its web framework’s debug mode rather than release mode, and says so in its own startup log alongside the framework’s warning that this should be switched for production use. Debug mode is not a cosmetic difference: it prints every registered route at startup, produces far more verbose logging on every request, and in this framework is documented as unsuitable for production because of the extra output and the internal detail it exposes in error responses. The service is being launched by the system supervisor as a long-running background service, which is exactly the production case the warning is about. Nothing is broken in the sense of requests failing, which is why this has gone unnoticed, but a production deployment is currently logging at development verbosity and revealing more internal structure than it should. The framework offers two ways to correct it, an environment variable or a call in the startup code, and the service unit is the natural place to set the former. The fix is to select release mode when the service runs under the supervisor, and to add a check that fails if a production unit ever starts in debug mode again.</w:t>
            </w:r>
          </w:p>
        </w:tc>
      </w:tr>
      <w:tr>
        <w:tc>
          <w:tcPr/>
          <w:p>
            <w:pPr>
              <w:pStyle w:val="Compact"/>
            </w:pPr>
            <w:r>
              <w:t xml:space="preserve">377</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HXC-230 — Every time the Helix platform is started from a fully stopped state, the HelixAgent service crashes on its first attempt and only succeeds on the automatic retry about sixteen seconds later. The cause is a timing problem: the infrastructure service reports that it has finished as soon as the container engine has been asked to create the containers, but the Cognee knowledge-graph container needs several more seconds before it can actually answer requests. HelixAgent starts in that gap, tries to contact Cognee, is refused, treats the refusal as a fatal error and shuts itself down. Systemd then restarts it and the second attempt works. The practical effect is that a restart of the platform always logs a failure and leaves a permanent restart count against the service, which makes genuine faults harder to spot; and if Cognee were ever slower than the retry allowance the platform would stay down instead of recovering. Reproduced live on 2026-08-06: a full stop and start of the platform produced the identical failure seen in an earlier run from 2026-07-27. The fix is to make the infrastructure service wait for its containers to become healthy before reporting success, rather than reporting success as soon as they are created.</w:t>
            </w:r>
          </w:p>
        </w:tc>
      </w:tr>
      <w:tr>
        <w:tc>
          <w:tcPr/>
          <w:p>
            <w:pPr>
              <w:pStyle w:val="Compact"/>
            </w:pPr>
            <w:r>
              <w:t xml:space="preserve">378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HXC-233 — When the HelixLLM gateway starts it tries to launch a bundled local model server program called llama-server and fails because the program cannot be found. Searching the machine confirms the situation is worse than a misconfigured search path: no file called llama-server exists anywhere on the host, so this is not something that can be fixed by pointing the service at the right directory. The gateway records the failure as a warning and carries on without it, so nothing appears broken, but the local model serving feature is absent for the entire life of the service. This is particularly wasteful because the gateway had just spent thirty-seven minutes downloading a large model file specifically so this server could serve it; the download succeeded and the file sits on disk unused. Observed live on 2026-08-06 during a full platform boot. Fixing this requires actually obtaining and installing the program, then making sure the service can find it; it also raises the question of whether the gateway should be downloading models at all when the program that would consume them is not present.</w:t>
            </w:r>
          </w:p>
        </w:tc>
      </w:tr>
      <w:tr>
        <w:tc>
          <w:tcPr/>
          <w:p>
            <w:pPr>
              <w:pStyle w:val="Compact"/>
            </w:pPr>
            <w:r>
              <w:t xml:space="preserve">379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HXC-237 — The command the project uses to check its own work-item records, workable-items validate, runs from a prebuilt program file that was last rebuilt on 27 July. A new safety check was added to the source on 6 August: it refuses any closed item whose proof-of-work pointer does not actually lead to a real file. Because the prebuilt copy was never rebuilt, that check is simply not present in the program people actually run, while the source code containing it looks correct to anyone reading it. Proven by running both against the same deliberately-corrupted copy of the records with everything else held identical: the prebuilt program reported everything fine and exited successfully, the same code run from source correctly found and described the bad record and exited with a failure. This matters because the checker is the thing that is supposed to stop unproven work from being marked finished, so every closure signed off using it since 6 August carries less assurance than it appears to. It also means the ticket that introduced the check cannot honestly be called done. The fix is to rebuild the program file, publish it, and add a check that fails when the built copy is older than its source so this cannot recur silently.</w:t>
            </w:r>
          </w:p>
        </w:tc>
      </w:tr>
      <w:tr>
        <w:tc>
          <w:tcPr/>
          <w:p>
            <w:pPr>
              <w:pStyle w:val="Compact"/>
            </w:pPr>
            <w:r>
              <w:t xml:space="preserve">380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HXC-244 — The gateway is the service every other part of the platform talks to when it needs an AI model, and it publishes a health address that automated systems and on-call staff poll to ask whether it is all right. That address always answered</w:t>
            </w:r>
            <w:r>
              <w:t xml:space="preserve"> </w:t>
            </w:r>
            <w:r>
              <w:t xml:space="preserve">“healthy”</w:t>
            </w:r>
            <w:r>
              <w:t xml:space="preserve"> </w:t>
            </w:r>
            <w:r>
              <w:t xml:space="preserve">with an empty list of things checked, and it would have answered exactly that no matter what was broken underneath. The cause was a single missing wiring step: the part that collects health verdicts was created and handed to the server, but nothing was ever registered with it to check, so it had no dependencies to consult and</w:t>
            </w:r>
            <w:r>
              <w:t xml:space="preserve"> </w:t>
            </w:r>
            <w:r>
              <w:t xml:space="preserve">“healthy”</w:t>
            </w:r>
            <w:r>
              <w:t xml:space="preserve"> </w:t>
            </w:r>
            <w:r>
              <w:t xml:space="preserve">was the only verdict it could produce. The fast in-memory cache, the vector store, the model verifier and every model provider could all have been dead and this address would still have reported the gateway fine. This matters more than a plainly missing feature, because a service with no health address is an honest gap everyone routes around, while one that asserts a state it never verified will be trusted - by load balancers deciding where to send traffic, by supervisors deciding whether to restart, and by whoever gets woken at night. It also concealed a second and larger problem: the corrected code had been written and merged earlier, but the program actually running was still the old build, so every check that read the source code reported success while the live service stayed broken. Everyone who depends on the platform staying available benefits, the on-call responder most directly, because the signal they are paged on now reflects reality. The outcome achieved is that the health address now names the four dependencies it checked and reports how long each check really took, and a standing guard fails whenever that list is empty again, so the endpoint can no longer claim a verdict it did not earn.</w:t>
            </w:r>
          </w:p>
        </w:tc>
      </w:tr>
      <w:tr>
        <w:tc>
          <w:tcPr/>
          <w:p>
            <w:pPr>
              <w:pStyle w:val="Compact"/>
            </w:pPr>
            <w:r>
              <w:t xml:space="preserve">381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HXC-249 — The script the project runs to declare itself validated was reporting success on tests that never actually ran. The script starts the agent runtime and then waits for it to answer before testing it, but it waited at the wrong address - the one a different component, the model verifier, happens to occupy. The verifier politely answers</w:t>
            </w:r>
            <w:r>
              <w:t xml:space="preserve"> </w:t>
            </w:r>
            <w:r>
              <w:t xml:space="preserve">“not found”</w:t>
            </w:r>
            <w:r>
              <w:t xml:space="preserve"> </w:t>
            </w:r>
            <w:r>
              <w:t xml:space="preserve">to anything it does not recognise, and the waiting check treated any answer at all as proof the agent was ready, so the script concluded the agent was up without ever having reached it. The tests that followed then looked for the agent at that same wrong address, could not identify it, and quietly excused themselves rather than failing - and because excused tests are not failures, the whole run finished with the message</w:t>
            </w:r>
            <w:r>
              <w:t xml:space="preserve"> </w:t>
            </w:r>
            <w:r>
              <w:t xml:space="preserve">“Integration tests passed”</w:t>
            </w:r>
            <w:r>
              <w:t xml:space="preserve"> </w:t>
            </w:r>
            <w:r>
              <w:t xml:space="preserve">having validated nothing. This matters more than any other problem found in the same session, because every other finding was a test that could mislead, while this one is the mechanism by which the team decides a release is good, and it was already producing that false all-clear on this machine with nothing special done to provoke it. Whoever relies on a green validation run before shipping is the person harmed: they were being told the system had been checked when it had not. The fix makes the readiness check confirm the identity of what answers rather than merely that something answered, points the tests at the address the server actually bound, tells them that in this specific context an unfindable agent is a real failure rather than an acceptable excuse, and makes a run that executed zero tests fail outright. The expected outcome is that a green run from this script means the tests genuinely ran against the genuine server, and a run that validates nothing can no longer report success.</w:t>
            </w:r>
          </w:p>
        </w:tc>
      </w:tr>
      <w:tr>
        <w:tc>
          <w:tcPr/>
          <w:p>
            <w:pPr>
              <w:pStyle w:val="Compact"/>
            </w:pPr>
            <w:r>
              <w:t xml:space="preserve">382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HXC-252 — The automated check that guards our workable-items records against drift gives the wrong repair instruction when it finds a problem, and following that instruction would destroy data. The system keeps the same information in two places: a database, which is the authoritative copy, and a set of human-readable documents generated from it. When the check notices the two disagree, it tells the maintainer to copy the documents into the database - which is exactly backwards, because the database is the side that is meant to be trusted and the documents are the side that is meant to be regenerated. At the moment the problem was found, obeying the message would have overwritten a database holding forty-six items with a stale document holding only thirty-six, deleting ten items outright and resurrecting eight that had already been closed. The trap is particularly dangerous because it fires precisely when someone is already worried about consistency and is therefore most inclined to do exactly what the tool tells them. Anyone maintaining the project’s issue records is at risk, and because the loss would look like a legitimate synchronisation rather than an accident, it could easily go unnoticed for a long time. The expected outcome is that the message names the correct direction - regenerate the documents from the database - so that following the tool’s own advice repairs the disagreement instead of causing data loss.</w:t>
            </w:r>
          </w:p>
        </w:tc>
      </w:tr>
      <w:tr>
        <w:tc>
          <w:tcPr/>
          <w:p>
            <w:pPr>
              <w:pStyle w:val="Compact"/>
            </w:pPr>
            <w:r>
              <w:t xml:space="preserve">383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HXC-253 — Three automated safety checks had been written to catch specific problems from coming back, and nothing anywhere in the project ever ran them. Checks like these are the mechanism by which a fixed problem is prevented from silently returning: each one watches a particular behaviour and complains if it breaks again. The project’s checking system has no automatic discovery, meaning a check only ever runs if some other script explicitly calls it by name, and these three were never named anywhere. They had therefore been sitting in the codebase looking like protection while providing none, and one earlier problem had been formally closed on the strength of a check that had in fact never executed a single time. This is a quietly serious failure mode because it makes the project’s safety net appear larger than it is - the checks are present, discoverable by anyone browsing the code, and counted as coverage, while doing nothing. Everyone relying on the project’s regression protection benefits from closing it, since the difference between a check that exists and a check that runs is the entire value of having it. The three are now called explicitly by the main verification sweep, and each was first proven able to fail before being wired in, so none of them is a check that merely always passes. The honest limit worth recording is that the sweep is started by a person rather than automatically, so these checks now run whenever someone runs the sweep, which is a real improvement but is not the same as unattended enforcement.</w:t>
            </w:r>
          </w:p>
        </w:tc>
      </w:tr>
      <w:tr>
        <w:tc>
          <w:tcPr/>
          <w:p>
            <w:pPr>
              <w:pStyle w:val="Compact"/>
            </w:pPr>
            <w:r>
              <w:t xml:space="preserve">384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391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397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400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401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2026-08-10T22:07:51Z</dcterms:created>
  <dcterms:modified xsi:type="dcterms:W3CDTF">2026-08-10T22:07:51Z</dcterms:modified>
</cp:coreProperties>
</file>

<file path=docProps/custom.xml><?xml version="1.0" encoding="utf-8"?>
<Properties xmlns="http://schemas.openxmlformats.org/officeDocument/2006/custom-properties" xmlns:vt="http://schemas.openxmlformats.org/officeDocument/2006/docPropsVTypes"/>
</file>