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1"/>
    <w:bookmarkStart w:id="42"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2"/>
    <w:bookmarkStart w:id="43"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3"/>
    <w:bookmarkStart w:id="44"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4"/>
    <w:bookmarkStart w:id="45"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5"/>
    <w:bookmarkStart w:id="46"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6"/>
    <w:bookmarkStart w:id="47"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cannot find the access pass in the sign-in reply, so every test in that bank that needs to be signed in fails. CORRECTED MECHANISM (the original wording of this item was wrong, and the correction matters): the reply carries the real access pass at the top level under the name token, while the separate bookkeeping reference for the session sits NESTED one level down inside a session object. The runner looked for the bookkeeping name at the top level only, found nothing there, and stopped with a plain complaint that the field was missing. It therefore never handed the server a wrong value and was never turned away for using one — it failed before making a single signed-in request. The original text described it as picking the wrong value and being rejected, which is not what happens; the reported counts in that text were nonetheless correct. A SECOND PLACE FAILED SILENTLY: the API validation step had its own copy of the same assumption with no way to override it, and when it could not find the pass it simply carried on without one, so every later request went out unsigned and the resulting rejections were recorded as faults in the service being tested rather than as a failure to sign in — which is why this looked like a broken service. WHY THE OBVIOUS FIX WAS WRONG: the bookkeeping name is the CORRECT name for a different family of about fourteen banks that target a separate catalogue service, whose access pass genuinely does sit at the top level under that name. Simply swapping the two names would have repaired one product by breaking every catalogue bank. The fix keeps the existing name first and adds fallbacks tried only when it is absent or empty, plus support for reaching a nested location, and reports clearly when nothing usable is found. HOW TO REPRODUCE: run a bank requiring sign-in against the platform and observe the run stop with a missing-field complaint before any signed-in request is made. MEASURED OUTCOME: the bank used for measurement went from six passing and four failing to eight passing and two failing. The two that remain are unrelated to signing in and pre-date this work: one posts an empty body where the service expects content, and the other collides with a leftover record created by the very measurement run that produced this item’s original figures, because that bank does not clean up after itself. That leftover is also why the originally reported nine-and-one is no longer reproducible. ACCEPTANCE CRITERIA: banks needing sign-in authenticate against both service families without configuration changes; a failure to find a usable pass is reported as its own explicit finding rather than as service faults; no credential value ever appears in a message or log; and a standing test proves the behaviour, shown real by a paired mutation that makes it fail.</w:t>
      </w:r>
    </w:p>
    <w:bookmarkEnd w:id="47"/>
    <w:bookmarkStart w:id="48"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48"/>
    <w:bookmarkStart w:id="49"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49"/>
    <w:bookmarkStart w:id="50"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0"/>
    <w:bookmarkStart w:id="51"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1"/>
    <w:bookmarkStart w:id="52"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2"/>
    <w:bookmarkStart w:id="53"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3"/>
    <w:bookmarkStart w:id="54"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4"/>
    <w:bookmarkStart w:id="55"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5"/>
    <w:bookmarkStart w:id="56"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6"/>
    <w:bookmarkStart w:id="57"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57"/>
    <w:bookmarkStart w:id="58"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58"/>
    <w:bookmarkStart w:id="59" w:name="Xc259d50462c3b5c12956e49b472fbce77c97640"/>
    <w:p>
      <w:pPr>
        <w:pStyle w:val="Heading2"/>
      </w:pPr>
      <w:r>
        <w:t xml:space="preserve">HXC-256 — Regenerating the tracker documents without naming a destination writes an untracked copy and leaves the real ones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bookmarkEnd w:id="59"/>
    <w:bookmarkStart w:id="60" w:name="X353f01037365a461e83d02573a1b6dd89a7a536"/>
    <w:p>
      <w:pPr>
        <w:pStyle w:val="Heading2"/>
      </w:pPr>
      <w:r>
        <w:t xml:space="preserve">HXC-257 — The tracker consistency check calls its input the committed database but never reads version control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bookmarkEnd w:id="60"/>
    <w:bookmarkStart w:id="61" w:name="X9708585f07f267c02a07955595978f0abbe71b8"/>
    <w:p>
      <w:pPr>
        <w:pStyle w:val="Heading2"/>
      </w:pPr>
      <w:r>
        <w:t xml:space="preserve">HXC-258 — The tracker database records only one sync direction, so it always reports the wrong one after documents are regenerated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bookmarkEnd w:id="61"/>
    <w:bookmarkStart w:id="62" w:name="Xe3da6c5409e369db0fb035df2f01fe2358b1b13"/>
    <w:p>
      <w:pPr>
        <w:pStyle w:val="Heading2"/>
      </w:pPr>
      <w:r>
        <w:t xml:space="preserve">HXC-259 — Most closed tracker records carry no history of who closed them or when, and the gap is far wider than two items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bookmarkEnd w:id="62"/>
    <w:bookmarkStart w:id="63" w:name="X7272135738f9d2958723c8f401e6acaf0b08edb"/>
    <w:p>
      <w:pPr>
        <w:pStyle w:val="Heading2"/>
      </w:pPr>
      <w:r>
        <w:t xml:space="preserve">HXC-260 — HXC-260: HelixAgent k8s manifests published a dead GRPC_PORT env var and port 9090, so the declared gRPC endpoint could never be 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bookmarkEnd w:id="63"/>
    <w:bookmarkStart w:id="64" w:name="X8979d96a314725db1450c83ab1d728ed16cabc1"/>
    <w:p>
      <w:pPr>
        <w:pStyle w:val="Heading2"/>
      </w:pPr>
      <w:r>
        <w:t xml:space="preserve">HXC-261 — HXC-261: the gRPC protocol challenge recorded success on every branch and probed a port nobody binds, certifying gRPC healthy without ever contacting a gRPC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bookmarkEnd w:id="64"/>
    <w:bookmarkStart w:id="65" w:name="X9695ced82eee26605ecf8bdea990453cf399dc1"/>
    <w:p>
      <w:pPr>
        <w:pStyle w:val="Heading2"/>
      </w:pPr>
      <w:r>
        <w:t xml:space="preserve">HXC-262 — A safety check in the live-service test battery occasionally reports a failure that is not real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bookmarkEnd w:id="65"/>
    <w:bookmarkStart w:id="66" w:name="X58dc55b5e759ab975a8d7f2db318265877ad30e"/>
    <w:p>
      <w:pPr>
        <w:pStyle w:val="Heading2"/>
      </w:pPr>
      <w:r>
        <w:t xml:space="preserve">HXC-263 — Twelve of the fourteen tests that verify our safety checks are never actually run by anything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bookmarkEnd w:id="66"/>
    <w:bookmarkStart w:id="67" w:name="X3167bb54825cbaa19e1315d8fa25ff6e652404b"/>
    <w:p>
      <w:pPr>
        <w:pStyle w:val="Heading2"/>
      </w:pPr>
      <w:r>
        <w:t xml:space="preserve">HXC-264 — One tracker entry describes three different problems and recommends a fix that was never used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bookmarkEnd w:id="67"/>
    <w:bookmarkStart w:id="68" w:name="X1b4152bea55aca62ebf460513f20f825a7ed028"/>
    <w:p>
      <w:pPr>
        <w:pStyle w:val="Heading2"/>
      </w:pPr>
      <w:r>
        <w:t xml:space="preserve">HXC-265 — Twenty-five nested Go modules in helix_agent have no compile path and two more build only in un-gated container images, so breakage inside them is invisible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HelixAgent keeps 36 Go modules nested inside its repository (37 counting the root module). Most of them are never compiled by anything the test suite or any gate runs, which means a developer can rename a package, change a shared type, or break an import inside one and every build and test still reports green — the breakage surfaces much later, or never. That silent-failure surface is what this item tracks, and it matters most for the documentation samples, because the project anti-bluff checklist promises that a documentation example works when copy-pasted and an example nothing ever compiles cannot honour that promise. WHO IS AFFECTED: developers who trust a green build, and readers who copy a documentation example expecting it to compile. THE COUNTS, each verifiable by one command (the quotes are load-bearing — unquoted, the shell expands the pattern before git sees it and reports 2 instead of 36): inside submodules/helix_agent,</w:t>
      </w:r>
      <w:r>
        <w:t xml:space="preserve"> </w:t>
      </w:r>
      <w:r>
        <w:rPr>
          <w:rStyle w:val="VerbatimChar"/>
        </w:rPr>
        <w:t xml:space="preserve">git ls-files '*/go.mod' | wc -l</w:t>
      </w:r>
      <w:r>
        <w:t xml:space="preserve"> </w:t>
      </w:r>
      <w:r>
        <w:t xml:space="preserve">reports 36 nested modules, and</w:t>
      </w:r>
      <w:r>
        <w:t xml:space="preserve"> </w:t>
      </w:r>
      <w:r>
        <w:rPr>
          <w:rStyle w:val="VerbatimChar"/>
        </w:rPr>
        <w:t xml:space="preserve">git ls-files 'challenges/codebase/go_files/*/go.mod' | wc -l</w:t>
      </w:r>
      <w:r>
        <w:t xml:space="preserve"> </w:t>
      </w:r>
      <w:r>
        <w:t xml:space="preserve">reports the 6 that the Makefile build-challenge-modules recipe walks. By directory the 36 are 23 under docs/, 6 under challenges/, 2 under plugins/, 2 under docker/, and one each under Toolkit/, pkg/, and cli_agents/. THE CLASSIFICATION IS PER-MODULE, NOT AN AGGREGATE — two earlier revisions of this item stated a single wrong total because</w:t>
      </w:r>
      <w:r>
        <w:t xml:space="preserve"> </w:t>
      </w:r>
      <w:r>
        <w:t xml:space="preserve">“is it compiled”</w:t>
      </w:r>
      <w:r>
        <w:t xml:space="preserve"> </w:t>
      </w:r>
      <w:r>
        <w:t xml:space="preserve">cannot be answered by any one command, so each class below carries its own evidence. (1) NO COMPILE PATH AT ALL — 25 modules: the 23 under docs/ and the 2 under plugins/; nothing anywhere compiles them, the three challenge scripts touching the plugins pair only run presence checks (test -f, grep -q), and root-level go build cannot reach any of them because Go does not cross nested-module boundaries. (2) COMPILED ONLY INSIDE UN-GATED CONTAINER IMAGES — 2 modules: docker/acp and docker/protocol-discovery, declared as build contexts in docker-compose.protocols.yml and running a real go build in their Dockerfiles, but no test suite or gate exercises those image builds and compose rebuilds only when the image is absent, so breakage surfaces late and non-deterministically rather than never. (3) FULLY INSIDE THE GATED BUILD — 1 module, pkg/api: it is required and replaced in the root go.mod, imported by cmd/grpc-server/main.go with no build tags, and built for four platforms by ci/scripts/ci-go.sh whose failures increment PHASE_FAILURES and set the exit code. It is NOT part of the problem set and needs no work. Note for future readers:</w:t>
      </w:r>
      <w:r>
        <w:t xml:space="preserve"> </w:t>
      </w:r>
      <w:r>
        <w:rPr>
          <w:rStyle w:val="VerbatimChar"/>
        </w:rPr>
        <w:t xml:space="preserve">go list ./pkg/api</w:t>
      </w:r>
      <w:r>
        <w:t xml:space="preserve"> </w:t>
      </w:r>
      <w:r>
        <w:t xml:space="preserve">prints</w:t>
      </w:r>
      <w:r>
        <w:t xml:space="preserve"> </w:t>
      </w:r>
      <w:r>
        <w:t xml:space="preserve">“main module does not contain package”</w:t>
      </w:r>
      <w:r>
        <w:t xml:space="preserve">, which is a true output but answers package-pattern membership rather than whether the module is ever compiled — an earlier revision of this item mistook the one for the other. (4) PARTIALLY INSIDE THE GATED BUILD — 1 module, Toolkit: internal/verifier/startup.go imports Toolkit/Providers/Chutes, which transitively pulls in three more Toolkit packages, so at least 4 of its 21 package directories compile on every root build while roughly 17 remain outside. (5) DELIBERATELY EXCLUDED WITH A RECORDED REASON AND A GUARD — 1 module, cli_agents: its go.mod is the HXC-139 isolation marker whose header documents why the vendored tree must not be compiled, paired with the regression guard at tests/regression/cli_agents_isolation_test.go. It already satisfies this item’s second acceptance arm and is terminal. ACCEPTANCE CRITERIA: every module in classes (1), (2) and the un-compiled remainder of (4) is either wired into a build or compile-check target the test suite actually runs, or deliberately excluded with a recorded reason in the manner of class (5); and a gate fails when a new nested module appears that is neither built nor explicitly excluded.</w:t>
      </w:r>
    </w:p>
    <w:bookmarkEnd w:id="68"/>
    <w:bookmarkStart w:id="69" w:name="X722563523a7e09fa5688a756d84334e4b770860"/>
    <w:p>
      <w:pPr>
        <w:pStyle w:val="Heading2"/>
      </w:pPr>
      <w:r>
        <w:t xml:space="preserve">HXC-266 — Agent client URL builder emits a malformed address for IPv6 hosts because it never brackets the literal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function that builds the URL clients use to reach HelixAgent formats the address as</w:t>
      </w:r>
      <w:r>
        <w:t xml:space="preserve"> </w:t>
      </w:r>
      <w:r>
        <w:t xml:space="preserve">“http://%s:%d”</w:t>
      </w:r>
      <w:r>
        <w:t xml:space="preserve"> </w:t>
      </w:r>
      <w:r>
        <w:t xml:space="preserve">without ever bracketing the host, so any IPv6 host literal produces a malformed URL. WHY THIS IS REACHABLE RATHER THAN THEORETICAL: the resolver layer deliberately treats the IPv6 loopback ::1 as a valid, dialable host and blesses it, so a configuration that sets the host to ::1 passes every validation and then reaches this formatter. HOW IT MANIFESTS: the emitted address becomes http://::1:7061, which is not a parseable URL — the colons of the address and the colon of the port are indistinguishable to any URL parser, so the client fails to connect with a confusing parse error rather than a clear configuration error. WHO IS AFFECTED: any operator running the platform on an IPv6-only or IPv6-preferred host, and any deployment that resolves the agent host to an IPv6 literal instead of a name. HOW TO REPRODUCE: set the agent client host to ::1, request the client base URL, and observe the returned string is http://::1:7061 rather than the correct bracketed form http://[::1]:7061. ACCEPTANCE CRITERIA: the builder brackets IPv6 literals per RFC 3986 so ::1 yields http://[::1]:7061, IPv4 and hostnames are unchanged, and a regression test covers IPv6 literal, bracketed input that must not be double-bracketed, IPv4, and hostname cases.</w:t>
      </w:r>
    </w:p>
    <w:bookmarkEnd w:id="69"/>
    <w:bookmarkStart w:id="70" w:name="Xeb5766b5e79d68c6c16265febbc10f8d4f26ea6"/>
    <w:p>
      <w:pPr>
        <w:pStyle w:val="Heading2"/>
      </w:pPr>
      <w:r>
        <w:t xml:space="preserve">HXC-267 — HelixQA stays silent when a sign-in reply cannot be parsed, so unauthenticated runs are still misreported as API faults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When HelixQA signs in to run an API test bank and the server answers with a success code but a reply the runner cannot read, the runner goes quiet: it records nothing about the sign-in, carries on making requests with no credentials, and files the resulting rejections as faults in the API being tested rather than as its own failure to log in. A sibling item closed the case where the reply IS readable but carries the credential under an unexpected name; this item covers the door that fix left open. WHY IT HAPPENS: the code that raises the explanatory finding is nested inside the branch taken only when the reply parses as structured data, and that branch has no counterpart for when parsing fails, so an unreadable reply skips the reporting entirely. HOW IT MANIFESTS: the run looks like the tested service is broken when in fact the runner never authenticated, sending whoever reads the report to investigate the wrong system. MEASURED SCOPE, CORRECTED TWICE: this item originally described two silent shapes, then eight. The measured figure, established by running every case against the genuine pre-fix code, is NINE silent shapes out of eleven tested. Silent: an empty reply; an HTML error page; truncated structured data; bytes that are not valid text; a bare quoted string; a bare number; a list rather than an object; a bare true or false; and a very large reply. Only two shapes reach the sibling item’s reporting: the literal null, and an empty object. The dividing line is therefore whether the reply PARSES, not whether it carries a credential — which is why the earlier, narrower descriptions kept undercounting it. WHO IS AFFECTED: anyone reading a HelixQA report for a service whose sign-in route can return a non-data body, including error pages produced by a proxy or gateway in front of the real service. HOW TO REPRODUCE: point the pipeline at a test server whose sign-in route returns a success code with a body of empty text or HTML, run the API validation step, and observe that no sign-in finding is recorded while the later unauthenticated requests are recorded as API faults. ACCEPTANCE CRITERIA: an unreadable sign-in reply raises the same class of explanatory finding as an unusable one, naming what was attempted and the fact the body could not be read; the message never contains any byte of the body nor any credential value; a standing test covers all nine silent shapes plus the two that already work, proven real by a paired mutation that removes the new reporting and makes that test fail; and the two already-working shapes must produce byte-identical output before and after, so the change cannot disturb the path that already reports correctly.</w:t>
      </w:r>
    </w:p>
    <w:bookmarkEnd w:id="70"/>
    <w:bookmarkStart w:id="71" w:name="X6df99cd7d31da33f5adc163573f3b7795dfa335"/>
    <w:p>
      <w:pPr>
        <w:pStyle w:val="Heading2"/>
      </w:pPr>
      <w:r>
        <w:t xml:space="preserve">HXC-268 — Model verifier emits unusable addresses for IPv6 hosts at fifteen capability-config sites that never bracket the literal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model verifier builds web addresses by pasting a host and a port together with a colon, without the square brackets that IPv6 addresses require, so any deployment whose host is an IPv6 address produces addresses no client can read. WHO IS AFFECTED: operators on IPv6-first hosts, and any deployment where the configured host is an address rather than a name. WHY IT IS REACHABLE: the generator stores whatever host it is given with no validation, so an IPv6 value passes straight through to the formatting step. HOW IT MANIFESTS: the emitted address looks like http://::1:8100, which no address parser can read because the colons of the address are indistinguishable from the colon introducing the port; the client then fails with a confusing parsing complaint instead of a clear configuration message, sending whoever debugs it toward the wrong system. HOW MANY PLACES, AND A CORRECTION WORTH RECORDING: the capability-config generator contains FIFTEEN such build sites, one in each of fifteen per-agent generator functions, every one reachable from the single dispatch that selects an agent by name. An earlier revision of this item said three. That was wrong in a specific and instructive way: the fifteen sites use only three distinct format SHAPES (nine ending in a version segment, five plain, one ending in a messages segment), and three example line numbers offered by an upstream report were recorded as if they were the complete set. Shapes were counted as places. Had the earlier figure stood, the acceptance criteria would have certified this closed with twelve sites still broken. HOW TO REPRODUCE THE COUNT: inside the verifier submodule, count occurrences of the formatting pattern in the capability-config generator file; it reports fifteen, while listing the distinct pattern texts reports three. RECOMMENDED FIX DIRECTION: do not hand-bracket fifteen places. Concurrent in-flight work on the submodule is introducing a shared endpoint helper whose address builder brackets IPv6 correctly using the standard library join, including zone handling — but that helper is NOT YET part of any committed state of the submodule, so a fresh clone does not have it and nobody should expect to find it there today. Once it lands, route these fifteen sites through it, which fixes them uniformly and prevents a sixteenth from being written wrong. Coordinate with that work before starting. SCOPE NOTE SO A FIXER IS NOT MISLED: the capability-config generator is not the whole surface. The same unbracketed pattern appears in at least nine further files elsewhere in the submodule, including several per-agent config writers and two unrelated subsystems. Those are outside this item deliberately, but a fixer should know the capability generator is one region rather than the entire problem. ACCEPTANCE CRITERIA: all fifteen sites in the capability-config generator produce properly bracketed addresses for IPv6 literals; plain names and IPv4 addresses are unchanged; an already-bracketed value is not bracketed twice; a standing test covers the IPv6 literal, already-bracketed, IPv4 and hostname cases and is proven real by a paired mutation that removes the bracketing and makes the test fail; and the count of remaining unbracketed sites in that file is zero, verified by the same command that produced the fifteen.</w:t>
      </w:r>
    </w:p>
    <w:bookmarkEnd w:id="71"/>
    <w:bookmarkStart w:id="72" w:name="Xcac46a3f4b069a187c3bd1ad834c2fa3f9c741f"/>
    <w:p>
      <w:pPr>
        <w:pStyle w:val="Heading2"/>
      </w:pPr>
      <w:r>
        <w:t xml:space="preserve">HXC-269 — Model verifier silently discards the configured port when the host carries a query, fragment, or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When the model verifier builds a web address from a host and a port, and the host value contains a question mark, a hash, or a slash, the port is silently swallowed and the address ends up pointing at the default port instead of the one configured. WHY IT HAPPENS: the address builder appends the port after whatever it was given, so a host carrying a query string produces something like a normal address with the port glued onto the end of the query rather than onto the host; every standard address parser then reads the host correctly, reads NO port at all, and treats the port digits as part of the query text. HOW IT MANIFESTS: the client connects to the wrong place with no error and no warning anywhere, which is the same silent-misdirection this component was just remediated to eliminate. WHY IT IS REACHABLE RATHER THAN THEORETICAL: the host-normalising step accepts these shapes without complaint, so the value flows end to end from the operator-facing host setting into generated configuration with nothing reporting a problem. THREE SHAPES CONFIRMED BY MEASUREMENT: a host with a query string loses its port into the query; a host with a fragment loses it into the fragment; a host with a path loses it into the path. WHO IS AFFECTED: any operator who pastes a full address into the host setting instead of the dedicated full-address setting, which the component’s own guidance anticipates as a likely mistake. HOW TO REPRODUCE: build an address from a host containing a question mark and any port, then parse the result and observe the port is empty while the query carries the digits. ACCEPTANCE CRITERIA: a host containing a query, fragment, or path either is rejected with a clear message naming the setting and the expected shape, or is handled so the port survives; whichever is chosen, the operator is told rather than left with a silently wrong address; and a standing test covers all three shapes plus the ordinary host and address cases, proven real by a paired mutation that removes the handling and makes the test fail.</w:t>
      </w:r>
    </w:p>
    <w:bookmarkEnd w:id="72"/>
    <w:bookmarkStart w:id="73" w:name="X9b7c4c531cc47ca95ad8634a76ac5ea4f1e8ad1"/>
    <w:p>
      <w:pPr>
        <w:pStyle w:val="Heading2"/>
      </w:pPr>
      <w:r>
        <w:t xml:space="preserve">HXC-270 — HelixQA copies failed reply bodies verbatim into reports and errors at five sites, one of them the sign-in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copies failed reply bodies straight into reports and error messages in several places, and one of those places is a sign-in reply, which is exactly where a credential is most likely to be. WHAT HAPPENS: when a request returns an unsuccessful status, the code records the entire reply body as the description of a reported finding. This occurs at THREE sites in the same validation routine — the sign-in path, the entity-statistics path, and the media-search path. A fourth and fifth exposure sit in the shared HTTP helper: an error message carrying a slice of the body, and a wrapper around the underlying decoding complaint, which on the current toolchain quotes a character taken from the body. WHY THIS MATTERS: these reports and errors are written to shared logs and captured by automation, so anything the server put in that body travels outward with them. The sign-in site is the highest risk by a wide margin — a sign-in endpoint that echoes a submitted token, returns a cookie in the body, or includes an authorization header in its diagnostic output would have that value copied verbatim into a durable record. The other two sites echo the tested service’s own error bodies, which is a lower but identical mechanical risk. RELATIONSHIP TO OTHER WORK: a sibling item hardened the SUCCESSFUL sign-in path so it reports only a shape label, a byte count and a decode position, never a body byte; a separate component now redacts values that look like they carry credentials. These sites predate that work and were deliberately left untouched while it was under review, so the discipline is now inconsistent inside a single function: the success path is careful and the failure path fifteen lines below it is not. HOW TO REPRODUCE: point the pipeline at a test server whose sign-in route returns an unsuccessful status with a body containing a recognisable marker, run the validation step, and observe the marker appears in the recorded finding and in the returned error text. ACCEPTANCE CRITERIA: none of the five sites emits raw body bytes; all report the same class of bounded, non-echoing detail the success path already uses; the decode-complaint wrapping is replaced with a position and a shape rather than a quoted character; and a standing test asserts a marker placed in a failure body never appears in any finding or error at any of the five sites, proven real by a paired mutation that restores the echo and makes the test fail.</w:t>
      </w:r>
    </w:p>
    <w:bookmarkEnd w:id="73"/>
    <w:bookmarkStart w:id="74" w:name="Xeda27a788d8a04d86fc6c82ae24d3ff577f4809"/>
    <w:p>
      <w:pPr>
        <w:pStyle w:val="Heading2"/>
      </w:pPr>
      <w:r>
        <w:t xml:space="preserve">HXC-271 — The agent’s facade family of remote calls can never succeed on any host because its server was never given the provider registry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One of the two families of remote calls the agent publishes cannot ever succeed, on any machine, however well configured. WHAT IS BROKEN: the facade family of calls — the ones for completing text, streaming a completion, and chatting — reaches an internal routine that is always handed an EMPTY list of providers, and that routine refuses immediately when the list is empty. So every call in this family returns the same failure regardless of how many providers are actually configured and discovered. WHY IT IS NOT A CONFIGURATION PROBLEM: the object serving this family was never given a reference to the registry that holds the discovered providers; it has no such field at all. Start-up wires the registry into the OTHER family only, and that other family’s completion call does consult it, which is why the two families behave differently despite looking equivalent from outside. HOW IT WAS CONFIRMED: captured at runtime on a machine where fifty-plus real models had genuinely been discovered from live provider APIs, so this is not a case of an unprovisioned host — the providers existed and the call still failed with a message saying no providers were configured. WHO IS AFFECTED: any client using the facade family, which is the family the published interface presents first and the one an integrator would naturally reach for. HOW IT MANIFESTS: a caller gets an error advising them to use the provider registry for credential injection, which reads as a configuration mistake on their side and sends them to check credentials that are already correct. ACCEPTANCE CRITERIA: the facade family either receives the registry and succeeds against configured providers, or is explicitly withdrawn from the published interface with a clear error naming its replacement; a test drives each of the three calls end to end against a real configured provider and asserts a genuine response rather than an absence of error; and a paired mutation that removes the registry wiring makes that test fail.</w:t>
      </w:r>
    </w:p>
    <w:bookmarkEnd w:id="74"/>
    <w:bookmarkStart w:id="75" w:name="X7b714a3e70164d4a4bb0640839f5ddd012ac404"/>
    <w:p>
      <w:pPr>
        <w:pStyle w:val="Heading2"/>
      </w:pPr>
      <w:r>
        <w:t xml:space="preserve">HXC-272 — Automated checks starting in the same second share a results folder, so one run is judged on another run’s failures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Two automated checks that start in the same second write into the same results folder and append to the same running log, so each is judged partly on the other’s outcome. WHY IT HAPPENS: each run names its results folder after the current date and time down to the second, with nothing added to make it unique, and the summary step at the end counts outcome lines in that shared log to decide the overall verdict. THE CONTAMINATION RUNS BOTH WAYS, AND THE SECOND DIRECTION IS THE DANGEROUS ONE: inherited failure lines flip a healthy run red, which wastes investigation; but inherited SUCCESS lines can flip a run that achieved nothing into a reported success. That second direction is a false-success vector sitting in shared infrastructure that every automated check in the project uses, which places it in the same class as a check that cannot fail. BOTH DIRECTIONS OBSERVED: a guard’s positive case passed alone and failed inside its suite, borrowing a neighbour’s failures; and two back-to-back runs landed in the same second on a first attempt, with the second run’s results file reporting eight skipped items — its own four plus the first run’s four. A SECOND, RELATED DEFECT IN THE SAME AREA: a convenience pointer meant to indicate the most recent run never moves after the first run of the day, because the command used to update it follows the existing pointer instead of replacing it and drops its contents inside the first run’s folder; those additions keep refreshing that folder’s timestamp, so ordering the folders by recency also returns the first one forever. Measured live: the pointer still names the first run of the day despite roughly eighty later runs existing beside it, with those later runs’ pointers nested inside it. Both the pointer and the by-recency listing therefore silently return stale results, which already misled two reviewers into reading an old run as current. HOW TO REPRODUCE: start two checks within the same second and observe they share a folder and a log, then observe the second one’s verdict counting the first one’s outcomes; separately, run several checks and observe the recent-run pointer still names the first. ACCEPTANCE CRITERIA: concurrent runs never share a results folder or log; the recent-run pointer always names the genuinely most recent run; a test starts two runs in the same second and asserts their verdicts are independent in BOTH directions, proven real by a paired mutation that restores the shared naming and makes the test fail.</w:t>
      </w:r>
    </w:p>
    <w:bookmarkEnd w:id="75"/>
    <w:bookmarkStart w:id="76" w:name="X2841e3b090230b27b28a3951da16b3964f82a74"/>
    <w:p>
      <w:pPr>
        <w:pStyle w:val="Heading2"/>
      </w:pPr>
      <w:r>
        <w:t xml:space="preserve">HXC-273 — Three health checks accept a not-found reply as proof of health, so a half-broken service passes the gate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Several health checks treat any reply from a service as proof it is healthy, including replies that say the requested thing does not exist. WHAT HAPPENS: the checks fetch a health address but do not ask the fetching tool to treat unsuccessful statuses as failures, so a not-found reply is indistinguishable from a healthy one and the check passes. WHERE: three places — two in the shared checking framework and one in the protocol check that uses it. HOW IT MANIFESTS: a service that is running but has lost its health route, or is answering on the right port with the wrong application entirely, is reported healthy. This is the same shape as a check that cannot fail: it consumes a slot in the release gate while certifying almost nothing. RELATIONSHIP TO OTHER WORK: this sits in the same family as several defects closed recently where a check confirmed that SOMETHING answered rather than that the RIGHT thing answered; the remedy there was to demand a reply only the intended service could produce. WHO IS AFFECTED: anyone relying on the automated gate to notice a half-broken deployment before it reaches manual testing. HOW TO REPRODUCE: point a health check at a server that returns a not-found status for every path and observe the check passes. ACCEPTANCE CRITERIA: all three sites fail on unsuccessful statuses; where practical the check asserts something only the intended service can return rather than merely a successful status; and a test points each check at a server returning not-found and asserts it fails, proven real by a paired mutation that restores the permissive behaviour and makes the test fail.</w:t>
      </w:r>
    </w:p>
    <w:bookmarkEnd w:id="76"/>
    <w:bookmarkStart w:id="77" w:name="Xc49bb8ee3412dc468d1272e618df910fe36d936"/>
    <w:p>
      <w:pPr>
        <w:pStyle w:val="Heading2"/>
      </w:pPr>
      <w:r>
        <w:t xml:space="preserve">HXC-274 — Starting the remote-call server makes real outbound provider calls using ambient credentials and delays serving by ~18 seconds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Starting the remote-call server makes real outbound network requests to third-party provider APIs before it finishes starting, using whatever credentials happen to be present in the environment. WHAT HAPPENS: start-up builds a provider registry and kicks off automatic discovery; a flag passed there disables VERIFICATION of the discovered providers but does not disable discovery itself, so the discovery step still calls out to every provider whose credential it finds and enumerates their models. Captured at runtime across SEVEN providers in a single start-up, driven entirely by credentials exported in the host shell rather than supplied to the process: fifty models from one provider (discovered twice, because two different credential names both resolve to it), thirteen from another, eight, six, five, three and two from the rest. WHY THIS MATTERS: an operator starting a local server does not expect it to contact external services and spend quota before it is serving anything; in a sandboxed or air-gapped environment those calls fail slowly and delay start-up; and the credentials used are whatever is ambient rather than anything the operator deliberately supplied. IT ALSO CAUSES A SECOND PROBLEM: this discovery is why the server accepts connections into the operating system queue for roughly nineteen seconds before it actually begins serving them, which made a health probe conclude the server was not speaking the expected protocol on a completely healthy machine. AN IMPORTANT NOTE FOR WHOEVER FIXES THIS: reading the source alone leads to the wrong conclusion. The flag that disables verification reads as though it disables the outbound behaviour, and the catalogue fetches happen deeper than the visible body of the discovery routine, so an investigation that stopped at the source concluded there was no outbound traffic and returned a refutation. Only the runtime log settles it. Treat this as a case where the source and the behaviour genuinely disagree, and require runtime evidence for any claim about it. ACCEPTANCE CRITERIA: start-up performs no outbound calls unless explicitly asked to, discovery is opt-in or deferred until first use, credentials are taken from deliberate configuration rather than ambient environment, and the server begins serving promptly after it begins accepting; a test starts the server with credentials present and asserts no outbound calls occur, proven real by a paired mutation that restores eager discovery and makes the test fail.</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2026-08-11T15:33:05Z</dcterms:created>
  <dcterms:modified xsi:type="dcterms:W3CDTF">2026-08-11T15:33:05Z</dcterms:modified>
</cp:coreProperties>
</file>

<file path=docProps/custom.xml><?xml version="1.0" encoding="utf-8"?>
<Properties xmlns="http://schemas.openxmlformats.org/officeDocument/2006/custom-properties" xmlns:vt="http://schemas.openxmlformats.org/officeDocument/2006/docPropsVTypes"/>
</file>