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50</w:t>
            </w:r>
          </w:p>
        </w:tc>
      </w:tr>
      <w:tr>
        <w:tc>
          <w:tcPr/>
          <w:p>
            <w:pPr>
              <w:pStyle w:val="Compact"/>
            </w:pPr>
            <w:r>
              <w:t xml:space="preserve">Bug</w:t>
            </w:r>
          </w:p>
        </w:tc>
        <w:tc>
          <w:tcPr/>
          <w:p>
            <w:pPr>
              <w:pStyle w:val="Compact"/>
            </w:pPr>
            <w:r>
              <w:t xml:space="preserve">Ready for testing</w:t>
            </w:r>
          </w:p>
        </w:tc>
        <w:tc>
          <w:tcPr/>
          <w:p>
            <w:pPr>
              <w:pStyle w:val="Compact"/>
            </w:pPr>
            <w:r>
              <w:t xml:space="preserve">1</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14</w:t>
            </w:r>
          </w:p>
        </w:tc>
      </w:tr>
      <w:tr>
        <w:tc>
          <w:tcPr/>
          <w:p>
            <w:pPr>
              <w:pStyle w:val="Compact"/>
            </w:pPr>
            <w:r>
              <w:rPr>
                <w:b/>
                <w:bCs/>
              </w:rPr>
              <w:t xml:space="preserve">TOTAL</w:t>
            </w:r>
          </w:p>
        </w:tc>
        <w:tc>
          <w:tcPr/>
          <w:p>
            <w:pPr>
              <w:pStyle w:val="Compact"/>
            </w:pPr>
          </w:p>
        </w:tc>
        <w:tc>
          <w:tcPr/>
          <w:p>
            <w:pPr>
              <w:pStyle w:val="Compact"/>
            </w:pPr>
            <w:r>
              <w:rPr>
                <w:b/>
                <w:bCs/>
              </w:rPr>
              <w:t xml:space="preserve">67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Ready for testing</w:t>
            </w:r>
          </w:p>
        </w:tc>
        <w:tc>
          <w:tcPr/>
          <w:p>
            <w:pPr>
              <w:pStyle w:val="Compact"/>
            </w:pPr>
            <w:r>
              <w:t xml:space="preserve">—</w:t>
            </w:r>
          </w:p>
        </w:tc>
        <w:tc>
          <w:tcPr/>
          <w:p>
            <w:pPr>
              <w:pStyle w:val="Compact"/>
            </w:pPr>
            <w:r>
              <w:t xml:space="preserve">When HelixQA runs a test bank that needs to sign in, it cannot find the access pass in the sign-in reply, so every test in that bank that needs to be signed in fails. CORRECTED MECHANISM (the original wording of this item was wrong, and the correction matters): the reply carries the real access pass at the top level under the name token, while the separate bookkeeping reference for the session sits NESTED one level down inside a session object. The runner looked for the bookkeeping name at the top level only, found nothing there, and stopped with a plain complaint that the field was missing. It therefore never handed the server a wrong value and was never turned away for using one — it failed before making a single signed-in request. The original text described it as picking the wrong value and being rejected, which is not what happens; the reported counts in that text were nonetheless correct. A SECOND PLACE FAILED SILENTLY: the API validation step had its own copy of the same assumption with no way to override it, and when it could not find the pass it simply carried on without one, so every later request went out unsigned and the resulting rejections were recorded as faults in the service being tested rather than as a failure to sign in — which is why this looked like a broken service. WHY THE OBVIOUS FIX WAS WRONG: the bookkeeping name is the CORRECT name for a different family of about fourteen banks that target a separate catalogue service, whose access pass genuinely does sit at the top level under that name. Simply swapping the two names would have repaired one product by breaking every catalogue bank. The fix keeps the existing name first and adds fallbacks tried only when it is absent or empty, plus support for reaching a nested location, and reports clearly when nothing usable is found. HOW TO REPRODUCE: run a bank requiring sign-in against the platform and observe the run stop with a missing-field complaint before any signed-in request is made. MEASURED OUTCOME: the bank used for measurement went from six passing and four failing to eight passing and two failing. The two that remain are unrelated to signing in and pre-date this work: one posts an empty body where the service expects content, and the other collides with a leftover record created by the very measurement run that produced this item’s original figures, because that bank does not clean up after itself. That leftover is also why the originally reported nine-and-one is no longer reproducible. ACCEPTANCE CRITERIA: banks needing sign-in authenticate against both service families without configuration changes; a failure to find a usable pass is reported as its own explicit finding rather than as service faults; no credential value ever appears in a message or log; and a standing test proves the behaviour, shown real by a paired mutation that makes it fail.</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 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r>
        <w:tc>
          <w:tcPr/>
          <w:p>
            <w:pPr>
              <w:pStyle w:val="Compact"/>
            </w:pPr>
            <w:r>
              <w:t xml:space="preserve">HXC-250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tc>
      </w:tr>
      <w:tr>
        <w:tc>
          <w:tcPr/>
          <w:p>
            <w:pPr>
              <w:pStyle w:val="Compact"/>
            </w:pPr>
            <w:r>
              <w:t xml:space="preserve">HXC-251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tc>
      </w:tr>
      <w:tr>
        <w:tc>
          <w:tcPr/>
          <w:p>
            <w:pPr>
              <w:pStyle w:val="Compact"/>
            </w:pPr>
            <w:r>
              <w:t xml:space="preserve">HXC-254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tc>
      </w:tr>
      <w:tr>
        <w:tc>
          <w:tcPr/>
          <w:p>
            <w:pPr>
              <w:pStyle w:val="Compact"/>
            </w:pPr>
            <w:r>
              <w:t xml:space="preserve">HXC-255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tc>
      </w:tr>
      <w:tr>
        <w:tc>
          <w:tcPr/>
          <w:p>
            <w:pPr>
              <w:pStyle w:val="Compact"/>
            </w:pPr>
            <w:r>
              <w:t xml:space="preserve">HXC-256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tc>
      </w:tr>
      <w:tr>
        <w:tc>
          <w:tcPr/>
          <w:p>
            <w:pPr>
              <w:pStyle w:val="Compact"/>
            </w:pPr>
            <w:r>
              <w:t xml:space="preserve">HXC-257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tc>
      </w:tr>
      <w:tr>
        <w:tc>
          <w:tcPr/>
          <w:p>
            <w:pPr>
              <w:pStyle w:val="Compact"/>
            </w:pPr>
            <w:r>
              <w:t xml:space="preserve">HXC-258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tc>
      </w:tr>
      <w:tr>
        <w:tc>
          <w:tcPr/>
          <w:p>
            <w:pPr>
              <w:pStyle w:val="Compact"/>
            </w:pPr>
            <w:r>
              <w:t xml:space="preserve">HXC-259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tc>
      </w:tr>
      <w:tr>
        <w:tc>
          <w:tcPr/>
          <w:p>
            <w:pPr>
              <w:pStyle w:val="Compact"/>
            </w:pPr>
            <w:r>
              <w:t xml:space="preserve">HXC-260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tc>
      </w:tr>
      <w:tr>
        <w:tc>
          <w:tcPr/>
          <w:p>
            <w:pPr>
              <w:pStyle w:val="Compact"/>
            </w:pPr>
            <w:r>
              <w:t xml:space="preserve">HXC-261</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tc>
      </w:tr>
      <w:tr>
        <w:tc>
          <w:tcPr/>
          <w:p>
            <w:pPr>
              <w:pStyle w:val="Compact"/>
            </w:pPr>
            <w:r>
              <w:t xml:space="preserve">HXC-262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project keeps a battery of tests whose whole job is to prove its safety checks actually catch problems, by deliberately breaking things and confirming each check notices. One assertion in that battery — the one covering a service stuck in a restart loop — occasionally reports a problem when nothing is wrong. It was seen once across thirteen consecutive runs, and ran correctly six times out of six when run on its own, so it is intermittent rather than consistently broken. The cause is a timing flaw inside the safety check itself: it asks the system two separate questions, whether the service is running and which process is running it, and between those two questions a fast-restarting service can move on, so the two answers describe different moments and disagree. When that happens the check cannot find a process to examine and reports that it could not verify anything. The practical harm is not a missed defect but a false alarm: work gets blocked on a condition that is not present, and worse, people who see a check cry wolf learn to ignore it, which quietly erodes the value of the one battery specifically built to be trustworthy. The fix is to read both pieces of information in a single query so they always describe the same instant. This was deliberately left unfixed by the reviewer who found it because it changes the sampling behaviour of a check that was itself under review at the time, and such a change deserves its own review rather than being folded into someone else’s batch.</w:t>
            </w:r>
          </w:p>
        </w:tc>
      </w:tr>
      <w:tr>
        <w:tc>
          <w:tcPr/>
          <w:p>
            <w:pPr>
              <w:pStyle w:val="Compact"/>
            </w:pPr>
            <w:r>
              <w:t xml:space="preserve">HXC-263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project keeps a folder of tests whose purpose is to verify that its safety checks genuinely work, by deliberately introducing a fault and confirming the corresponding check reports a failure. A test like that only has value if something actually runs it. Counting the invocations at the current revision, only two of the fourteen files in that folder are ever executed by anything; the remaining twelve are written, maintained, and never run. This is the same problem the project already found and fixed once before, when three safety checks turned out to exist but be executed by nothing, and it matters for the same reason: a check nobody runs cannot fail, so it certifies nothing while appearing to provide coverage. The presence of these files is actively misleading, because anyone counting test files sees protection that is not being exercised. A careless count makes it look better than it is — five of the files are mentioned somewhere, but three of those mentions are a comment, an entry in a skip list, and a line of prose in a status document, none of which run anything. Resolving this means deciding for each of the twelve whether to wire it into the release sweep so it runs, or to retire it honestly, and then making the choice visible rather than leaving the file sitting there implying coverage it does not deliver.</w:t>
            </w:r>
          </w:p>
        </w:tc>
      </w:tr>
      <w:tr>
        <w:tc>
          <w:tcPr/>
          <w:p>
            <w:pPr>
              <w:pStyle w:val="Compact"/>
            </w:pPr>
            <w:r>
              <w:t xml:space="preserve">HXC-264</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single entry in the project’s work tracker manages to describe the same problem three different ways in three different fields, and the three descriptions do not agree. One field says a required program is not installed on the machine at all, another says the program exists but cannot be found because of where the service looks for it, and a third says no such file exists anywhere on the system. Those are materially different problems with different fixes, so a reader cannot tell from the entry what was actually wrong. The entry also proposes a remedy, giving the service a direct path to the missing program, which is not what was eventually done: the capability was restored by routing requests to a different service that was already running, and the originally-named program is still absent from the machine today. This matters because the tracker is the permanent record of what was reported and why, and an entry that contradicts itself cannot serve that purpose for anyone reviewing the history later. It is not a case of the documents drifting out of step with the database, which is a problem the project already guards against; the rendered documents faithfully reproduce what the database holds, and the inconsistency is inside the database entry itself. Resolving it means reconciling the three fields into one accurate account that records both what was originally observed and how it was actually resolved, without erasing the original report.</w:t>
            </w:r>
          </w:p>
        </w:tc>
      </w:tr>
      <w:tr>
        <w:tc>
          <w:tcPr/>
          <w:p>
            <w:pPr>
              <w:pStyle w:val="Compact"/>
            </w:pPr>
            <w:r>
              <w:t xml:space="preserve">HXC-265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HelixAgent keeps 36 Go modules nested inside its repository (37 counting the root module). Most of them are never compiled by anything the test suite or any gate runs, which means a developer can rename a package, change a shared type, or break an import inside one and every build and test still reports green — the breakage surfaces much later, or never. That silent-failure surface is what this item tracks, and it matters most for the documentation samples, because the project anti-bluff checklist promises that a documentation example works when copy-pasted and an example nothing ever compiles cannot honour that promise. WHO IS AFFECTED: developers who trust a green build, and readers who copy a documentation example expecting it to compile. THE COUNTS, each verifiable by one command (the quotes are load-bearing — unquoted, the shell expands the pattern before git sees it and reports 2 instead of 36): inside submodules/helix_agent,</w:t>
            </w:r>
            <w:r>
              <w:t xml:space="preserve"> </w:t>
            </w:r>
            <w:r>
              <w:rPr>
                <w:rStyle w:val="VerbatimChar"/>
              </w:rPr>
              <w:t xml:space="preserve">git ls-files '*/go.mod' \| wc -l</w:t>
            </w:r>
            <w:r>
              <w:t xml:space="preserve"> </w:t>
            </w:r>
            <w:r>
              <w:t xml:space="preserve">reports 36 nested modules, and</w:t>
            </w:r>
            <w:r>
              <w:t xml:space="preserve"> </w:t>
            </w:r>
            <w:r>
              <w:rPr>
                <w:rStyle w:val="VerbatimChar"/>
              </w:rPr>
              <w:t xml:space="preserve">git ls-files 'challenges/codebase/go_files/*/go.mod' \| wc -l</w:t>
            </w:r>
            <w:r>
              <w:t xml:space="preserve"> </w:t>
            </w:r>
            <w:r>
              <w:t xml:space="preserve">reports the 6 that the Makefile build-challenge-modules recipe walks. By directory the 36 are 23 under docs/, 6 under challenges/, 2 under plugins/, 2 under docker/, and one each under Toolkit/, pkg/, and cli_agents/. THE CLASSIFICATION IS PER-MODULE, NOT AN AGGREGATE — two earlier revisions of this item stated a single wrong total because</w:t>
            </w:r>
            <w:r>
              <w:t xml:space="preserve"> </w:t>
            </w:r>
            <w:r>
              <w:t xml:space="preserve">“is it compiled”</w:t>
            </w:r>
            <w:r>
              <w:t xml:space="preserve"> </w:t>
            </w:r>
            <w:r>
              <w:t xml:space="preserve">cannot be answered by any one command, so each class below carries its own evidence. (1) NO COMPILE PATH AT ALL — 25 modules: the 23 under docs/ and the 2 under plugins/; nothing anywhere compiles them, the three challenge scripts touching the plugins pair only run presence checks (test -f, grep -q), and root-level go build cannot reach any of them because Go does not cross nested-module boundaries. (2) COMPILED ONLY INSIDE UN-GATED CONTAINER IMAGES — 2 modules: docker/acp and docker/protocol-discovery, declared as build contexts in docker-compose.protocols.yml and running a real go build in their Dockerfiles, but no test suite or gate exercises those image builds and compose rebuilds only when the image is absent, so breakage surfaces late and non-deterministically rather than never. (3) FULLY INSIDE THE GATED BUILD — 1 module, pkg/api: it is required and replaced in the root go.mod, imported by cmd/grpc-server/main.go with no build tags, and built for four platforms by ci/scripts/ci-go.sh whose failures increment PHASE_FAILURES and set the exit code. It is NOT part of the problem set and needs no work. Note for future readers:</w:t>
            </w:r>
            <w:r>
              <w:t xml:space="preserve"> </w:t>
            </w:r>
            <w:r>
              <w:rPr>
                <w:rStyle w:val="VerbatimChar"/>
              </w:rPr>
              <w:t xml:space="preserve">go list ./pkg/api</w:t>
            </w:r>
            <w:r>
              <w:t xml:space="preserve"> </w:t>
            </w:r>
            <w:r>
              <w:t xml:space="preserve">prints</w:t>
            </w:r>
            <w:r>
              <w:t xml:space="preserve"> </w:t>
            </w:r>
            <w:r>
              <w:t xml:space="preserve">“main module does not contain package”</w:t>
            </w:r>
            <w:r>
              <w:t xml:space="preserve">, which is a true output but answers package-pattern membership rather than whether the module is ever compiled — an earlier revision of this item mistook the one for the other. (4) PARTIALLY INSIDE THE GATED BUILD — 1 module, Toolkit: internal/verifier/startup.go imports Toolkit/Providers/Chutes, which transitively pulls in three more Toolkit packages, so at least 4 of its 21 package directories compile on every root build while roughly 17 remain outside. (5) DELIBERATELY EXCLUDED WITH A RECORDED REASON AND A GUARD — 1 module, cli_agents: its go.mod is the HXC-139 isolation marker whose header documents why the vendored tree must not be compiled, paired with the regression guard at tests/regression/cli_agents_isolation_test.go. It already satisfies this item’s second acceptance arm and is terminal. ACCEPTANCE CRITERIA: every module in classes (1), (2) and the un-compiled remainder of (4) is either wired into a build or compile-check target the test suite actually runs, or deliberately excluded with a recorded reason in the manner of class (5); and a gate fails when a new nested module appears that is neither built nor explicitly excluded.</w:t>
            </w:r>
          </w:p>
        </w:tc>
      </w:tr>
      <w:tr>
        <w:tc>
          <w:tcPr/>
          <w:p>
            <w:pPr>
              <w:pStyle w:val="Compact"/>
            </w:pPr>
            <w:r>
              <w:t xml:space="preserve">HXC-266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function that builds the URL clients use to reach HelixAgent formats the address as</w:t>
            </w:r>
            <w:r>
              <w:t xml:space="preserve"> </w:t>
            </w:r>
            <w:r>
              <w:t xml:space="preserve">“http://%s:%d”</w:t>
            </w:r>
            <w:r>
              <w:t xml:space="preserve"> </w:t>
            </w:r>
            <w:r>
              <w:t xml:space="preserve">without ever bracketing the host, so any IPv6 host literal produces a malformed URL. WHY THIS IS REACHABLE RATHER THAN THEORETICAL: the resolver layer deliberately treats the IPv6 loopback ::1 as a valid, dialable host and blesses it, so a configuration that sets the host to ::1 passes every validation and then reaches this formatter. HOW IT MANIFESTS: the emitted address becomes http://::1:7061, which is not a parseable URL — the colons of the address and the colon of the port are indistinguishable to any URL parser, so the client fails to connect with a confusing parse error rather than a clear configuration error. WHO IS AFFECTED: any operator running the platform on an IPv6-only or IPv6-preferred host, and any deployment that resolves the agent host to an IPv6 literal instead of a name. HOW TO REPRODUCE: set the agent client host to ::1, request the client base URL, and observe the returned string is http://::1:7061 rather than the correct bracketed form http://[::1]:7061. ACCEPTANCE CRITERIA: the builder brackets IPv6 literals per RFC 3986 so ::1 yields http://[::1]:7061, IPv4 and hostnames are unchanged, and a regression test covers IPv6 literal, bracketed input that must not be double-bracketed, IPv4, and hostname cases.</w:t>
            </w:r>
          </w:p>
        </w:tc>
      </w:tr>
      <w:tr>
        <w:tc>
          <w:tcPr/>
          <w:p>
            <w:pPr>
              <w:pStyle w:val="Compact"/>
            </w:pPr>
            <w:r>
              <w:t xml:space="preserve">HXC-267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HelixQA signs in to run an API test bank and the server answers with a success code but a reply the runner cannot read, the runner goes quiet: it records nothing about the sign-in, carries on making requests with no credentials, and files the resulting rejections as faults in the API being tested rather than as its own failure to log in. A sibling item closed the case where the reply IS readable but carries the credential under an unexpected name; this item covers the door that fix left open. WHY IT HAPPENS: the code that raises the explanatory finding is nested inside the branch taken only when the reply parses as structured data, and that branch has no counterpart for when parsing fails, so an unreadable reply skips the reporting entirely. HOW IT MANIFESTS: the run looks like the tested service is broken when in fact the runner never authenticated, sending whoever reads the report to investigate the wrong system. MEASURED SCOPE, CORRECTED TWICE: this item originally described two silent shapes, then eight. The measured figure, established by running every case against the genuine pre-fix code, is NINE silent shapes out of eleven tested. Silent: an empty reply; an HTML error page; truncated structured data; bytes that are not valid text; a bare quoted string; a bare number; a list rather than an object; a bare true or false; and a very large reply. Only two shapes reach the sibling item’s reporting: the literal null, and an empty object. The dividing line is therefore whether the reply PARSES, not whether it carries a credential — which is why the earlier, narrower descriptions kept undercounting it. WHO IS AFFECTED: anyone reading a HelixQA report for a service whose sign-in route can return a non-data body, including error pages produced by a proxy or gateway in front of the real service. HOW TO REPRODUCE: point the pipeline at a test server whose sign-in route returns a success code with a body of empty text or HTML, run the API validation step, and observe that no sign-in finding is recorded while the later unauthenticated requests are recorded as API faults. ACCEPTANCE CRITERIA: an unreadable sign-in reply raises the same class of explanatory finding as an unusable one, naming what was attempted and the fact the body could not be read; the message never contains any byte of the body nor any credential value; a standing test covers all nine silent shapes plus the two that already work, proven real by a paired mutation that removes the new reporting and makes that test fail; and the two already-working shapes must produce byte-identical output before and after, so the change cannot disturb the path that already reports correctly.</w:t>
            </w:r>
          </w:p>
        </w:tc>
      </w:tr>
      <w:tr>
        <w:tc>
          <w:tcPr/>
          <w:p>
            <w:pPr>
              <w:pStyle w:val="Compact"/>
            </w:pPr>
            <w:r>
              <w:t xml:space="preserve">HXC-268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model verifier builds web addresses by pasting a host and a port together with a colon, without the square brackets that IPv6 addresses require, so any deployment whose host is an IPv6 address produces addresses no client can read. WHO IS AFFECTED: operators on IPv6-first hosts, and any deployment where the configured host is an address rather than a name. WHY IT IS REACHABLE: the generator stores whatever host it is given with no validation, so an IPv6 value passes straight through to the formatting step. HOW IT MANIFESTS: the emitted address looks like http://::1:8100, which no address parser can read because the colons of the address are indistinguishable from the colon introducing the port; the client then fails with a confusing parsing complaint instead of a clear configuration message, sending whoever debugs it toward the wrong system. HOW MANY PLACES, AND A CORRECTION WORTH RECORDING: the capability-config generator contains FIFTEEN such build sites, one in each of fifteen per-agent generator functions, every one reachable from the single dispatch that selects an agent by name. An earlier revision of this item said three. That was wrong in a specific and instructive way: the fifteen sites use only three distinct format SHAPES (nine ending in a version segment, five plain, one ending in a messages segment), and three example line numbers offered by an upstream report were recorded as if they were the complete set. Shapes were counted as places. Had the earlier figure stood, the acceptance criteria would have certified this closed with twelve sites still broken. HOW TO REPRODUCE THE COUNT: inside the verifier submodule, count occurrences of the formatting pattern in the capability-config generator file; it reports fifteen, while listing the distinct pattern texts reports three. RECOMMENDED FIX DIRECTION: do not hand-bracket fifteen places. Concurrent in-flight work on the submodule is introducing a shared endpoint helper whose address builder brackets IPv6 correctly using the standard library join, including zone handling — but that helper is NOT YET part of any committed state of the submodule, so a fresh clone does not have it and nobody should expect to find it there today. Once it lands, route these fifteen sites through it, which fixes them uniformly and prevents a sixteenth from being written wrong. Coordinate with that work before starting. SCOPE NOTE SO A FIXER IS NOT MISLED: the capability-config generator is not the whole surface. The same unbracketed pattern appears in at least nine further files elsewhere in the submodule, including several per-agent config writers and two unrelated subsystems. Those are outside this item deliberately, but a fixer should know the capability generator is one region rather than the entire problem. ACCEPTANCE CRITERIA: all fifteen sites in the capability-config generator produce properly bracketed addresses for IPv6 literals; plain names and IPv4 addresses are unchanged; an already-bracketed value is not bracketed twice; a standing test covers the IPv6 literal, already-bracketed, IPv4 and hostname cases and is proven real by a paired mutation that removes the bracketing and makes the test fail; and the count of remaining unbracketed sites in that file is zero, verified by the same command that produced the fifteen.</w:t>
            </w:r>
          </w:p>
        </w:tc>
      </w:tr>
      <w:tr>
        <w:tc>
          <w:tcPr/>
          <w:p>
            <w:pPr>
              <w:pStyle w:val="Compact"/>
            </w:pPr>
            <w:r>
              <w:t xml:space="preserve">HXC-269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the model verifier builds a web address from a host and a port, and the host value contains a question mark, a hash, or a slash, the port is silently swallowed and the address ends up pointing at the default port instead of the one configured. WHY IT HAPPENS: the address builder appends the port after whatever it was given, so a host carrying a query string produces something like a normal address with the port glued onto the end of the query rather than onto the host; every standard address parser then reads the host correctly, reads NO port at all, and treats the port digits as part of the query text. HOW IT MANIFESTS: the client connects to the wrong place with no error and no warning anywhere, which is the same silent-misdirection this component was just remediated to eliminate. WHY IT IS REACHABLE RATHER THAN THEORETICAL: the host-normalising step accepts these shapes without complaint, so the value flows end to end from the operator-facing host setting into generated configuration with nothing reporting a problem. THREE SHAPES CONFIRMED BY MEASUREMENT: a host with a query string loses its port into the query; a host with a fragment loses it into the fragment; a host with a path loses it into the path. WHO IS AFFECTED: any operator who pastes a full address into the host setting instead of the dedicated full-address setting, which the component’s own guidance anticipates as a likely mistake. HOW TO REPRODUCE: build an address from a host containing a question mark and any port, then parse the result and observe the port is empty while the query carries the digits. ACCEPTANCE CRITERIA: a host containing a query, fragment, or path either is rejected with a clear message naming the setting and the expected shape, or is handled so the port survives; whichever is chosen, the operator is told rather than left with a silently wrong address; and a standing test covers all three shapes plus the ordinary host and address cases, proven real by a paired mutation that removes the handling and makes the test fail.</w:t>
            </w:r>
          </w:p>
        </w:tc>
      </w:tr>
      <w:tr>
        <w:tc>
          <w:tcPr/>
          <w:p>
            <w:pPr>
              <w:pStyle w:val="Compact"/>
            </w:pPr>
            <w:r>
              <w:t xml:space="preserve">HXC-270</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HelixQA copies failed reply bodies straight into reports and error messages in several places, and one of those places is a sign-in reply, which is exactly where a credential is most likely to be. WHAT HAPPENS: when a request returns an unsuccessful status, the code records the entire reply body as the description of a reported finding. This occurs at THREE sites in the same validation routine — the sign-in path, the entity-statistics path, and the media-search path. A fourth and fifth exposure sit in the shared HTTP helper: an error message carrying a slice of the body, and a wrapper around the underlying decoding complaint, which on the current toolchain quotes a character taken from the body. WHY THIS MATTERS: these reports and errors are written to shared logs and captured by automation, so anything the server put in that body travels outward with them. The sign-in site is the highest risk by a wide margin — a sign-in endpoint that echoes a submitted token, returns a cookie in the body, or includes an authorization header in its diagnostic output would have that value copied verbatim into a durable record. The other two sites echo the tested service’s own error bodies, which is a lower but identical mechanical risk. RELATIONSHIP TO OTHER WORK: a sibling item hardened the SUCCESSFUL sign-in path so it reports only a shape label, a byte count and a decode position, never a body byte; a separate component now redacts values that look like they carry credentials. These sites predate that work and were deliberately left untouched while it was under review, so the discipline is now inconsistent inside a single function: the success path is careful and the failure path fifteen lines below it is not. HOW TO REPRODUCE: point the pipeline at a test server whose sign-in route returns an unsuccessful status with a body containing a recognisable marker, run the validation step, and observe the marker appears in the recorded finding and in the returned error text. ACCEPTANCE CRITERIA: none of the five sites emits raw body bytes; all report the same class of bounded, non-echoing detail the success path already uses; the decode-complaint wrapping is replaced with a position and a shape rather than a quoted character; and a standing test asserts a marker placed in a failure body never appears in any finding or error at any of the five sites, proven real by a paired mutation that restores the echo and makes the test fail.</w:t>
            </w:r>
          </w:p>
        </w:tc>
      </w:tr>
      <w:tr>
        <w:tc>
          <w:tcPr/>
          <w:p>
            <w:pPr>
              <w:pStyle w:val="Compact"/>
            </w:pPr>
            <w:r>
              <w:t xml:space="preserve">HXC-271</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One of the two families of remote calls the agent publishes cannot ever succeed, on any machine, however well configured. WHAT IS BROKEN: the facade family of calls — the ones for completing text, streaming a completion, and chatting — reaches an internal routine that is always handed an EMPTY list of providers, and that routine refuses immediately when the list is empty. So every call in this family returns the same failure regardless of how many providers are actually configured and discovered. WHY IT IS NOT A CONFIGURATION PROBLEM: the object serving this family was never given a reference to the registry that holds the discovered providers; it has no such field at all. Start-up wires the registry into the OTHER family only, and that other family’s completion call does consult it, which is why the two families behave differently despite looking equivalent from outside. HOW IT WAS CONFIRMED: captured at runtime on a machine where fifty-plus real models had genuinely been discovered from live provider APIs, so this is not a case of an unprovisioned host — the providers existed and the call still failed with a message saying no providers were configured. WHO IS AFFECTED: any client using the facade family, which is the family the published interface presents first and the one an integrator would naturally reach for. HOW IT MANIFESTS: a caller gets an error advising them to use the provider registry for credential injection, which reads as a configuration mistake on their side and sends them to check credentials that are already correct. ACCEPTANCE CRITERIA: the facade family either receives the registry and succeeds against configured providers, or is explicitly withdrawn from the published interface with a clear error naming its replacement; a test drives each of the three calls end to end against a real configured provider and asserts a genuine response rather than an absence of error; and a paired mutation that removes the registry wiring makes that test fail.</w:t>
            </w:r>
          </w:p>
        </w:tc>
      </w:tr>
      <w:tr>
        <w:tc>
          <w:tcPr/>
          <w:p>
            <w:pPr>
              <w:pStyle w:val="Compact"/>
            </w:pPr>
            <w:r>
              <w:t xml:space="preserve">HXC-272</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automated checks that start in the same second write into the same results folder and append to the same running log, so each is judged partly on the other’s outcome. WHY IT HAPPENS: each run names its results folder after the current date and time down to the second, with nothing added to make it unique, and the summary step at the end counts outcome lines in that shared log to decide the overall verdict. THE CONTAMINATION RUNS BOTH WAYS, AND THE SECOND DIRECTION IS THE DANGEROUS ONE: inherited failure lines flip a healthy run red, which wastes investigation; but inherited SUCCESS lines can flip a run that achieved nothing into a reported success. That second direction is a false-success vector sitting in shared infrastructure that every automated check in the project uses, which places it in the same class as a check that cannot fail. BOTH DIRECTIONS OBSERVED: a guard’s positive case passed alone and failed inside its suite, borrowing a neighbour’s failures; and two back-to-back runs landed in the same second on a first attempt, with the second run’s results file reporting eight skipped items — its own four plus the first run’s four. A SECOND, RELATED DEFECT IN THE SAME AREA: a convenience pointer meant to indicate the most recent run never moves after the first run of the day, because the command used to update it follows the existing pointer instead of replacing it and drops its contents inside the first run’s folder; those additions keep refreshing that folder’s timestamp, so ordering the folders by recency also returns the first one forever. Measured live: the pointer still names the first run of the day despite roughly eighty later runs existing beside it, with those later runs’ pointers nested inside it. Both the pointer and the by-recency listing therefore silently return stale results, which already misled two reviewers into reading an old run as current. HOW TO REPRODUCE: start two checks within the same second and observe they share a folder and a log, then observe the second one’s verdict counting the first one’s outcomes; separately, run several checks and observe the recent-run pointer still names the first. ACCEPTANCE CRITERIA: concurrent runs never share a results folder or log; the recent-run pointer always names the genuinely most recent run; a test starts two runs in the same second and asserts their verdicts are independent in BOTH directions, proven real by a paired mutation that restores the shared naming and makes the test fail.</w:t>
            </w:r>
          </w:p>
        </w:tc>
      </w:tr>
      <w:tr>
        <w:tc>
          <w:tcPr/>
          <w:p>
            <w:pPr>
              <w:pStyle w:val="Compact"/>
            </w:pPr>
            <w:r>
              <w:t xml:space="preserve">HXC-273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Several health checks treat any reply from a service as proof it is healthy, including replies that say the requested thing does not exist. WHAT HAPPENS: the checks fetch a health address but do not ask the fetching tool to treat unsuccessful statuses as failures, so a not-found reply is indistinguishable from a healthy one and the check passes. WHERE: three places — two in the shared checking framework and one in the protocol check that uses it. HOW IT MANIFESTS: a service that is running but has lost its health route, or is answering on the right port with the wrong application entirely, is reported healthy. This is the same shape as a check that cannot fail: it consumes a slot in the release gate while certifying almost nothing. RELATIONSHIP TO OTHER WORK: this sits in the same family as several defects closed recently where a check confirmed that SOMETHING answered rather than that the RIGHT thing answered; the remedy there was to demand a reply only the intended service could produce. WHO IS AFFECTED: anyone relying on the automated gate to notice a half-broken deployment before it reaches manual testing. HOW TO REPRODUCE: point a health check at a server that returns a not-found status for every path and observe the check passes. ACCEPTANCE CRITERIA: all three sites fail on unsuccessful statuses; where practical the check asserts something only the intended service can return rather than merely a successful status; and a test points each check at a server returning not-found and asserts it fails, proven real by a paired mutation that restores the permissive behaviour and makes the test fail.</w:t>
            </w:r>
          </w:p>
        </w:tc>
      </w:tr>
      <w:tr>
        <w:tc>
          <w:tcPr/>
          <w:p>
            <w:pPr>
              <w:pStyle w:val="Compact"/>
            </w:pPr>
            <w:r>
              <w:t xml:space="preserve">HXC-274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Starting the remote-call server makes real outbound network requests to third-party provider APIs before it finishes starting, using whatever credentials happen to be present in the environment. WHAT HAPPENS: start-up builds a provider registry and kicks off automatic discovery; a flag passed there disables VERIFICATION of the discovered providers but does not disable discovery itself, so the discovery step still calls out to every provider whose credential it finds and enumerates their models. Captured at runtime across SEVEN providers in a single start-up, driven entirely by credentials exported in the host shell rather than supplied to the process: fifty models from one provider (discovered twice, because two different credential names both resolve to it), thirteen from another, eight, six, five, three and two from the rest. WHY THIS MATTERS: an operator starting a local server does not expect it to contact external services and spend quota before it is serving anything; in a sandboxed or air-gapped environment those calls fail slowly and delay start-up; and the credentials used are whatever is ambient rather than anything the operator deliberately supplied. IT ALSO CAUSES A SECOND PROBLEM: this discovery is why the server accepts connections into the operating system queue for roughly nineteen seconds before it actually begins serving them, which made a health probe conclude the server was not speaking the expected protocol on a completely healthy machine. AN IMPORTANT NOTE FOR WHOEVER FIXES THIS: reading the source alone leads to the wrong conclusion. The flag that disables verification reads as though it disables the outbound behaviour, and the catalogue fetches happen deeper than the visible body of the discovery routine, so an investigation that stopped at the source concluded there was no outbound traffic and returned a refutation. Only the runtime log settles it. Treat this as a case where the source and the behaviour genuinely disagree, and require runtime evidence for any claim about it. ACCEPTANCE CRITERIA: start-up performs no outbound calls unless explicitly asked to, discovery is opt-in or deferred until first use, credentials are taken from deliberate configuration rather than ambient environment, and the server begins serving promptly after it begins accepting; a test starts the server with credentials present and asserts no outbound calls occur, proven real by a paired mutation that restores eager discovery and makes the test fail.</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2026-08-11T15:33:14Z</dcterms:created>
  <dcterms:modified xsi:type="dcterms:W3CDTF">2026-08-11T15:33:14Z</dcterms:modified>
</cp:coreProperties>
</file>

<file path=docProps/custom.xml><?xml version="1.0" encoding="utf-8"?>
<Properties xmlns="http://schemas.openxmlformats.org/officeDocument/2006/custom-properties" xmlns:vt="http://schemas.openxmlformats.org/officeDocument/2006/docPropsVTypes"/>
</file>