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the highest-risk set FIRST (closed factors: (a) most-recently-worked, (b) historically most-problematic, (c) highest crash/break/regress likelihood, (d) most-reopened per §11.4.55), each validated GREEN with real (physical) captured evidence (§11.4.5/.69/.107, no bluff §11.4.6), and ONLY AFTER that set is GREEN does the rest of the suite run; running the suite in arbitrary order or lower-risk-before-highest-risk-GREEN is a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(PREPARE-on-demand) into a STANDING version-controlled ARTIFACT, ALWAYS present + ALWAYS in sync: (A) exists at the declared path at all times; (B) (re)written whenever a fresh session is needed OR live state materially changes (new HEAD/build-artifact id/phase/device state/in-flight job/blocking decision) — §12.10 trigger set, a stale file = §11.4.131 violation (same class as §12.10 stale-CONTINUATION); (C) carries SHORT+FULL §11.4.127 variants +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Prior round: Added §11.4.127 mirror — Session-handoff resumption-prompt mandate (User mandate 2026-06-06): when a fresh session is needed (context limits / degradation) OR the operator asks whether a new session is needed, the agent MUST ALWAYS prepare + proactively provide a ready-to-paste resumption prompt valid for that EXACT moment + project phase (a SHORT first-sentence variant + a FULL detailed block on demand) that points to the live handoff docs (.remember/remember.md if present + docs/CONTINUATION.md per §12.10, read FIRST + git fetch –all), states current PHASE + immediate NEXT action + terminal goal, embeds exact live-state anchors (build IDs/artifact MD5, device serials, commit HEAD, in-flight PIDs + log paths, captured-evidence paths), and restates binding constraints (anti-bluff §11.4, no-force-push §11.4.113, exact version/naming, hardware gotchas); MUST be moment-valid never a generic template; handoff docs MUST be current BEFORE the prompt is given; a missing/stale/generic prompt is a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(diff the broken state against the known-good tag FIRST — the tagged-good version is the regression oracle), §11.4.115 RED-baseline-on-the-broken-artifact + polarity-switch (one test reproduces the defect on the pre-fix artifact then flips RED_MODE=0 to GREEN-guard — refines §11.4.43), §11.4.116 real-time conductor↔autonomous-test-framework sync channel (append-only JSONL event stream + atomically-rewritten status snapshot the orchestrator tails live; every verdict event carries its evidence path), §11.4.117 CV/OCR pixel-oracle fallback for non-introspectable UIs (drive + assert via pixels when the accessibility tree is blank — refines §11.4.48/.52/.107), §11.4.118 discovery-pressure to confirm known-issue-set completeness (fixing the reported set is necessary-not-sufficient; provable enumerated discovery coverage), §11.4.119 single-resource-owner partitioning for parallel hardware testing (exactly ONE stream owns each device’s exclusive resource — refines §11.4.58/.103), §11.4.120 fix-breaks-its-own-gate reconciliation (rewrite the gate to assert the NEW mechanism; never fake-pass, never revert the fix), §11.4.121 no-commit-while-build-writes-tracked-artifacts (defer commit to build completion so partial/stale artifacts never land — build-output analogue of §11.4.84).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8" w:name="Xae1079e5d26c2f5a703aec3fac8bb543456d5af"/>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fail-bluffs-are-equally-forbidden"/>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recorded-evidence-requirement"/>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per-environment-topology-test-dispatch"/>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f96d58bb843e9f4c6d613e11e644d582b46291b"/>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captured-evidence-quality-analysis"/>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no-guessing-mandate"/>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demotion-evidence-rule"/>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w:t>
      </w:r>
      <w:r>
        <w:t xml:space="preserve"> </w:t>
      </w:r>
      <w:r>
        <w:t xml:space="preserve">“I cannot reproduce in</w:t>
      </w:r>
      <w:r>
        <w:t xml:space="preserve"> </w:t>
      </w:r>
      <w:r>
        <w:t xml:space="preserve">isolation”</w:t>
      </w:r>
      <w:r>
        <w:t xml:space="preserve"> </w:t>
      </w:r>
      <w:r>
        <w:t xml:space="preserve">is a hypothesis, not a finding.</w:t>
      </w:r>
    </w:p>
    <w:bookmarkEnd w:id="18"/>
    <w:bookmarkStart w:id="19" w:name="deep-web-research-before-implementation"/>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w:t>
      </w:r>
      <w:r>
        <w:t xml:space="preserve"> </w:t>
      </w:r>
      <w:r>
        <w:t xml:space="preserve">“NO external solution found — original work”</w:t>
      </w:r>
      <w:r>
        <w:t xml:space="preserve">.</w:t>
      </w:r>
    </w:p>
    <w:bookmarkEnd w:id="19"/>
    <w:bookmarkStart w:id="20" w:name="batch-source-fixes-before-rebuil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w:t>
      </w:r>
      <w:r>
        <w:t xml:space="preserve"> </w:t>
      </w:r>
      <w:r>
        <w:t xml:space="preserve">“fix A → rebuild → flash → cycle → fix B → rebuild</w:t>
      </w:r>
      <w:r>
        <w:t xml:space="preserve"> </w:t>
      </w:r>
      <w:r>
        <w:t xml:space="preserve">→ …”</w:t>
      </w:r>
      <w:r>
        <w:t xml:space="preserve"> </w:t>
      </w:r>
      <w:r>
        <w:t xml:space="preserve">serializes operator time onto rebuild latency.</w:t>
      </w:r>
    </w:p>
    <w:bookmarkEnd w:id="20"/>
    <w:bookmarkStart w:id="21" w:name="credentials-handling-mandate"/>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file-layout-discipline"/>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auto-generated-docs-sync"/>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out-of-band-sink-side-captured-eviden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test-playback-cleanup"/>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item-status-tracking"/>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item-type-tracking"/>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9102c57f41fcbe48aebf5b62b884841a3b4828e"/>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w:t>
      </w:r>
      <w:r>
        <w:t xml:space="preserve"> </w:t>
      </w:r>
      <w:r>
        <w:t xml:space="preserve">“MUST”</w:t>
      </w:r>
      <w:r>
        <w:t xml:space="preserve">-bearing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acda7246a17668f5cad87e77cac238668778696"/>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w:t>
      </w:r>
      <w:r>
        <w:t xml:space="preserve"> </w:t>
      </w:r>
      <w:r>
        <w:t xml:space="preserve">“do everything”</w:t>
      </w:r>
      <w:r>
        <w:t xml:space="preserve">),</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7fe8048bdba50c1ef954154bbb75e90cacddde3"/>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cc8e5c1deb3a7843aa178eee3dfc4681eca4a32"/>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183be26f7ab292434fc7f8651d0ef5ac1e086d9"/>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w:t>
      </w:r>
      <w:r>
        <w:t xml:space="preserve"> </w:t>
      </w:r>
      <w:r>
        <w:t xml:space="preserve">“Attempted: a — …;</w:t>
      </w:r>
      <w:r>
        <w:t xml:space="preserve"> </w:t>
      </w:r>
      <w:r>
        <w:t xml:space="preserve">b — …; c — …”</w:t>
      </w:r>
      <w:r>
        <w:t xml:space="preserve"> </w:t>
      </w:r>
      <w:r>
        <w:t xml:space="preserve">trail). Classification: universal (per §11.4.17).</w:t>
      </w:r>
      <w:r>
        <w:t xml:space="preserve"> </w:t>
      </w:r>
      <w:r>
        <w:t xml:space="preserve">No escape hatch.</w:t>
      </w:r>
    </w:p>
    <w:bookmarkEnd w:id="33"/>
    <w:bookmarkStart w:id="34" w:name="X433bd887499f4eedc500bda1603a172814936f0"/>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f3da6316283670b7787a97353bc860c6591bc7b"/>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r>
        <w:t xml:space="preserve"> </w:t>
      </w:r>
      <w:r>
        <w:t xml:space="preserve">+ 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5"/>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5"/>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5"/>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5"/>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5"/>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w:t>
      </w:r>
      <w:r>
        <w:t xml:space="preserve"> </w:t>
      </w:r>
      <w:r>
        <w:t xml:space="preserve">“make conflicts go away”</w:t>
      </w:r>
      <w:r>
        <w:t xml:space="preserve"> </w:t>
      </w:r>
      <w:r>
        <w:t xml:space="preserve">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5"/>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5"/>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ed2032aa7575298e43ddfe7bca109789d4d3a7e"/>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c6ac829cd921f6aef29573bf4cf298445bb20a"/>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6"/>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6"/>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6"/>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6"/>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6"/>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6"/>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r>
        <w:t xml:space="preserve"> </w:t>
      </w:r>
      <w:r>
        <w:t xml:space="preserve">+ §12.1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BodyText"/>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w:t>
      </w:r>
      <w:r>
        <w:t xml:space="preserve"> </w:t>
      </w:r>
      <w:r>
        <w:t xml:space="preserve">“Does</w:t>
      </w:r>
      <w:r>
        <w:t xml:space="preserve"> </w:t>
      </w:r>
      <w:r>
        <w:t xml:space="preserve">renaming break the technology?”</w:t>
      </w:r>
      <w:r>
        <w:t xml:space="preserve"> </w:t>
      </w:r>
      <w:r>
        <w:t xml:space="preserve">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w:t>
      </w:r>
      <w:r>
        <w:t xml:space="preserve"> </w:t>
      </w:r>
      <w:r>
        <w:t xml:space="preserve">would”</w:t>
      </w:r>
      <w:r>
        <w:t xml:space="preserve">,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r>
        <w:t xml:space="preserve"> </w:t>
      </w:r>
      <w:r>
        <w:t xml:space="preserve">- Challenges —</w:t>
      </w:r>
      <w:r>
        <w:t xml:space="preserve"> </w:t>
      </w:r>
      <w:r>
        <w:rPr>
          <w:rStyle w:val="VerbatimChar"/>
        </w:rPr>
        <w:t xml:space="preserve">git@github.com:vasic-digital/Challenges.git</w:t>
      </w:r>
      <w:r>
        <w:t xml:space="preserve"> </w:t>
      </w:r>
      <w:r>
        <w:t xml:space="preserve">- HelixQA —</w:t>
      </w:r>
      <w:r>
        <w:t xml:space="preserve"> </w:t>
      </w:r>
      <w:r>
        <w:rPr>
          <w:rStyle w:val="VerbatimChar"/>
        </w:rPr>
        <w:t xml:space="preserve">git@github.com:HelixDevelopment/HelixQA.git</w:t>
      </w:r>
      <w:r>
        <w:t xml:space="preserve"> </w:t>
      </w:r>
      <w:r>
        <w:t xml:space="preserve">- 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BodyText"/>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51882367e3d8228a320596979fd365aeb975f3c"/>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w:t>
      </w:r>
      <w:r>
        <w:t xml:space="preserve"> </w:t>
      </w:r>
      <w:r>
        <w:t xml:space="preserve">“closed, positive evidence captured”</w:t>
      </w:r>
      <w:r>
        <w:t xml:space="preserve">)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3b70dc0e9fe114612bd132813f62f90bdfbab3c"/>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07"/>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07"/>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07"/>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07"/>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d9d69ae2b1a5f15c76d1238d0ec1d52e9110a1c"/>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w:t>
      </w:r>
      <w:r>
        <w:t xml:space="preserve"> </w:t>
      </w:r>
      <w:r>
        <w:t xml:space="preserve">“How inheritance works”</w:t>
      </w:r>
      <w:r>
        <w:t xml:space="preserve"> </w:t>
      </w:r>
      <w:r>
        <w:t xml:space="preserve">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w:t>
      </w:r>
      <w:r>
        <w:t xml:space="preserve"> </w:t>
      </w:r>
      <w:r>
        <w:t xml:space="preserve">“the parent CLAUDE.md”</w:t>
      </w:r>
      <w:r>
        <w:t xml:space="preserve"> </w:t>
      </w:r>
      <w:r>
        <w:t xml:space="preserve">or</w:t>
      </w:r>
      <w:r>
        <w:t xml:space="preserve"> </w:t>
      </w:r>
      <w:r>
        <w:t xml:space="preserve">“the 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w:t>
      </w:r>
      <w:r>
        <w:t xml:space="preserve"> </w:t>
      </w:r>
      <w:r>
        <w:t xml:space="preserve">“Lifted from</w:t>
      </w:r>
      <w:r>
        <w:t xml:space="preserve"> </w:t>
      </w:r>
      <w:r>
        <w:t xml:space="preserve"> </w:t>
      </w:r>
      <w:r>
        <w:t xml:space="preserve">to constitution</w:t>
      </w:r>
      <w:r>
        <w:t xml:space="preserve"> </w:t>
      </w:r>
      <w:r>
        <w:t xml:space="preserve">per §11.4.35”</w:t>
      </w:r>
      <w:r>
        <w:t xml:space="preserve"> </w:t>
      </w:r>
      <w:r>
        <w:t xml:space="preserve">/</w:t>
      </w:r>
      <w:r>
        <w:t xml:space="preserve"> </w:t>
      </w:r>
      <w:r>
        <w:t xml:space="preserve">“Demoted from constitution to</w:t>
      </w:r>
      <w:r>
        <w:t xml:space="preserve"> </w:t>
      </w:r>
      <w:r>
        <w:t xml:space="preserve"> </w:t>
      </w:r>
      <w:r>
        <w:t xml:space="preserve">per</w:t>
      </w:r>
      <w:r>
        <w:t xml:space="preserve"> </w:t>
      </w:r>
      <w:r>
        <w:t xml:space="preserve">§11.4.35”</w:t>
      </w:r>
      <w:r>
        <w:t xml:space="preserve"> </w:t>
      </w:r>
      <w:r>
        <w:t xml:space="preserve">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r>
        <w:t xml:space="preserve"> </w:t>
      </w:r>
      <w:r>
        <w:t xml:space="preserve">+ paired mutation (§1.1).</w:t>
      </w:r>
    </w:p>
    <w:p>
      <w:pPr>
        <w:pStyle w:val="BodyText"/>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w:t>
      </w:r>
      <w:r>
        <w:t xml:space="preserve"> </w:t>
      </w:r>
      <w:r>
        <w:t xml:space="preserve">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w:t>
      </w:r>
      <w:r>
        <w:t xml:space="preserve"> </w:t>
      </w:r>
      <w:r>
        <w:t xml:space="preserve">“do X</w:t>
      </w:r>
      <w:r>
        <w:t xml:space="preserve"> </w:t>
      </w:r>
      <w:r>
        <w:t xml:space="preserve">immediately”</w:t>
      </w:r>
      <w:r>
        <w:t xml:space="preserve"> </w:t>
      </w:r>
      <w:r>
        <w:t xml:space="preserve">— skipping it on the basis of</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a5c71fa4343ebbb94317588643e223f074533c9"/>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b57fadd20c7f39b60f8f573bd4a4ebcb5be421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w:t>
      </w:r>
      <w:r>
        <w:t xml:space="preserve"> </w:t>
      </w:r>
      <w:r>
        <w:t xml:space="preserve">“tests pass but feature</w:t>
      </w:r>
      <w:r>
        <w:t xml:space="preserve"> </w:t>
      </w:r>
      <w:r>
        <w:t xml:space="preserve">broken”</w:t>
      </w:r>
      <w:r>
        <w:t xml:space="preserve"> </w:t>
      </w:r>
      <w:r>
        <w:t xml:space="preserve">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08"/>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08"/>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08"/>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08"/>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w:t>
      </w:r>
      <w:r>
        <w:t xml:space="preserve"> </w:t>
      </w:r>
      <w:r>
        <w:t xml:space="preserve">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r>
        <w:t xml:space="preserve"> </w:t>
      </w:r>
      <w:r>
        <w:t xml:space="preserve">### §11.4.42 — Iteration-discipline mandate (User mandate, 2026-05-18)</w:t>
      </w:r>
    </w:p>
    <w:p>
      <w:pPr>
        <w:pStyle w:val="BodyText"/>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1"/>
    <w:bookmarkStart w:id="52" w:name="X1b5806798b5ba46d959fb39e88a31901e89647c"/>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w:t>
      </w:r>
      <w:r>
        <w:t xml:space="preserve"> </w:t>
      </w:r>
      <w:r>
        <w:t xml:space="preserve">“Test added after the fix”</w:t>
      </w:r>
      <w:r>
        <w:t xml:space="preserve"> </w:t>
      </w:r>
      <w:r>
        <w:t xml:space="preserve">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2"/>
    <w:bookmarkStart w:id="53" w:name="Xb8051f2416713dc673499542197068cce6929e6"/>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3"/>
    <w:bookmarkStart w:id="54" w:name="Xaf232fd95671dfc8aa327ff79e28ee70634e6eb"/>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r>
        <w:t xml:space="preserve"> </w:t>
      </w:r>
      <w:r>
        <w:t xml:space="preserve">+ 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BodyText"/>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4"/>
    <w:bookmarkStart w:id="55" w:name="Xf13779569debc50608835d0e7b641e618b1b72d"/>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r>
        <w:t xml:space="preserve"> </w:t>
      </w:r>
      <w:r>
        <w:t xml:space="preserve">+ §11.4.43 + §11.4.44 + §12.10. Each recent-item fix MUST have a</w:t>
      </w:r>
      <w:r>
        <w:t xml:space="preserve"> </w:t>
      </w:r>
      <w:r>
        <w:t xml:space="preserve">paired §11.4.43 RED-then-GREEN — a GREEN with no prior RED is a</w:t>
      </w:r>
      <w:r>
        <w:t xml:space="preserve"> </w:t>
      </w:r>
      <w:r>
        <w:t xml:space="preserve">bluff.</w:t>
      </w:r>
    </w:p>
    <w:p>
      <w:pPr>
        <w:pStyle w:val="BodyText"/>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5"/>
    <w:bookmarkStart w:id="57" w:name="X877f3c4968d967a146511d598eb7c04a56a0150"/>
    <w:p>
      <w:pPr>
        <w:pStyle w:val="Heading3"/>
      </w:pPr>
      <w:r>
        <w:t xml:space="preserve">§11.4.47 — Firebase data review mandate (User mandate, 2026-05-18)</w:t>
      </w:r>
    </w:p>
    <w:p>
      <w:pPr>
        <w:pStyle w:val="FirstParagraph"/>
      </w:pPr>
      <w:r>
        <w:t xml:space="preserve">Before every</w:t>
      </w:r>
      <w:r>
        <w:t xml:space="preserve"> </w:t>
      </w:r>
      <w:r>
        <w:t xml:space="preserve">“bigger working round”</w:t>
      </w:r>
      <w:r>
        <w:t xml:space="preserve"> </w:t>
      </w:r>
      <w:r>
        <w:t xml:space="preserve">(pre-build,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w:t>
      </w:r>
      <w:r>
        <w:t xml:space="preserve"> </w:t>
      </w:r>
      <w:r>
        <w:t xml:space="preserve">“tests pass but feature doesn’t work for users”</w:t>
      </w:r>
      <w:r>
        <w:t xml:space="preserve"> </w:t>
      </w:r>
      <w:r>
        <w:t xml:space="preserve">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BodyText"/>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r>
        <w:t xml:space="preserve"> </w:t>
      </w:r>
      <w:r>
        <w:t xml:space="preserve">+ §11.4.41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BodyText"/>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7"/>
    <w:bookmarkEnd w:id="58"/>
    <w:bookmarkStart w:id="63"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59" w:name="forbidden-directly-or-indirectly"/>
    <w:p>
      <w:pPr>
        <w:pStyle w:val="Heading3"/>
      </w:pPr>
      <w:r>
        <w:t xml:space="preserve">Forbidden — directly OR indirectly</w:t>
      </w:r>
    </w:p>
    <w:p>
      <w:pPr>
        <w:pStyle w:val="Compact"/>
        <w:numPr>
          <w:ilvl w:val="0"/>
          <w:numId w:val="1009"/>
        </w:numPr>
      </w:pPr>
      <w:r>
        <w:t xml:space="preserve">Suspending the host (</w:t>
      </w:r>
      <w:r>
        <w:rPr>
          <w:rStyle w:val="VerbatimChar"/>
        </w:rPr>
        <w:t xml:space="preserve">systemctl suspend</w:t>
      </w:r>
      <w:r>
        <w:t xml:space="preserve">, etc.).</w:t>
      </w:r>
    </w:p>
    <w:p>
      <w:pPr>
        <w:pStyle w:val="Compact"/>
        <w:numPr>
          <w:ilvl w:val="0"/>
          <w:numId w:val="1009"/>
        </w:numPr>
      </w:pPr>
      <w:r>
        <w:t xml:space="preserve">Hibernating / hybrid-sleeping the host.</w:t>
      </w:r>
    </w:p>
    <w:p>
      <w:pPr>
        <w:pStyle w:val="Compact"/>
        <w:numPr>
          <w:ilvl w:val="0"/>
          <w:numId w:val="100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0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09"/>
        </w:numPr>
      </w:pPr>
      <w:r>
        <w:t xml:space="preserve">Programmatic rfkill toggles, lid-switch handlers, power-button</w:t>
      </w:r>
      <w:r>
        <w:t xml:space="preserve"> </w:t>
      </w:r>
      <w:r>
        <w:t xml:space="preserve">handlers — these cascade into idle-actions.</w:t>
      </w:r>
    </w:p>
    <w:p>
      <w:pPr>
        <w:pStyle w:val="Compact"/>
        <w:numPr>
          <w:ilvl w:val="0"/>
          <w:numId w:val="1009"/>
        </w:numPr>
      </w:pPr>
      <w:r>
        <w:t xml:space="preserve">Disabling session managers</w:t>
      </w:r>
      <w:r>
        <w:t xml:space="preserve"> </w:t>
      </w:r>
      <w:r>
        <w:t xml:space="preserve">“to make things faster”</w:t>
      </w:r>
      <w:r>
        <w:t xml:space="preserve">.</w:t>
      </w:r>
    </w:p>
    <w:bookmarkEnd w:id="59"/>
    <w:bookmarkStart w:id="60" w:name="required-safeguards-for-heavy-scripts"/>
    <w:p>
      <w:pPr>
        <w:pStyle w:val="Heading3"/>
      </w:pPr>
      <w:r>
        <w:t xml:space="preserve">Required safeguards for heavy scripts</w:t>
      </w:r>
    </w:p>
    <w:p>
      <w:pPr>
        <w:pStyle w:val="Compact"/>
        <w:numPr>
          <w:ilvl w:val="0"/>
          <w:numId w:val="1010"/>
        </w:numPr>
      </w:pPr>
      <w:r>
        <w:t xml:space="preserve">Source the project’s host-safety helper library.</w:t>
      </w:r>
    </w:p>
    <w:p>
      <w:pPr>
        <w:pStyle w:val="Compact"/>
        <w:numPr>
          <w:ilvl w:val="0"/>
          <w:numId w:val="1010"/>
        </w:numPr>
      </w:pPr>
      <w:r>
        <w:t xml:space="preserve">Call its pre-flight check and abort if it fails.</w:t>
      </w:r>
    </w:p>
    <w:p>
      <w:pPr>
        <w:pStyle w:val="Compact"/>
        <w:numPr>
          <w:ilvl w:val="0"/>
          <w:numId w:val="1010"/>
        </w:numPr>
      </w:pPr>
      <w:r>
        <w:t xml:space="preserve">Wrap any subprocess expected to exceed ~4 GiB RSS in a bounded</w:t>
      </w:r>
      <w:r>
        <w:t xml:space="preserve"> </w:t>
      </w:r>
      <w:r>
        <w:t xml:space="preserve">execution scope.</w:t>
      </w:r>
    </w:p>
    <w:p>
      <w:pPr>
        <w:pStyle w:val="Compact"/>
        <w:numPr>
          <w:ilvl w:val="0"/>
          <w:numId w:val="1010"/>
        </w:numPr>
      </w:pPr>
      <w:r>
        <w:t xml:space="preserve">Cap parallelism to fit available RAM.</w:t>
      </w:r>
    </w:p>
    <w:bookmarkEnd w:id="60"/>
    <w:bookmarkStart w:id="61" w:name="memory-budget-ceiling-60-maximum"/>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1"/>
    <w:bookmarkStart w:id="62" w:name="continuation-document-maintenance"/>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End w:id="63"/>
    <w:bookmarkStart w:id="64" w:name="Xbc35f6340c785e09456b3b6107b2aa586f2caf2"/>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1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1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11"/>
        </w:numPr>
      </w:pPr>
      <w:r>
        <w:rPr>
          <w:b/>
          <w:bCs/>
        </w:rPr>
        <w:t xml:space="preserve">Define expected post-op state</w:t>
      </w:r>
      <w:r>
        <w:t xml:space="preserve">.</w:t>
      </w:r>
    </w:p>
    <w:p>
      <w:pPr>
        <w:pStyle w:val="Compact"/>
        <w:numPr>
          <w:ilvl w:val="0"/>
          <w:numId w:val="101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1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1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1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w:t>
      </w:r>
      <w:r>
        <w:t xml:space="preserve"> </w:t>
      </w:r>
      <w:r>
        <w:t xml:space="preserve">section.</w:t>
      </w:r>
    </w:p>
    <w:p>
      <w:pPr>
        <w:pStyle w:val="FirstParagraph"/>
      </w:pPr>
      <w:r>
        <w:t xml:space="preserve">Hardlinked backup is so cheap (zero disk, &lt;2 s) that there is NEVER</w:t>
      </w:r>
      <w:r>
        <w:t xml:space="preserve"> </w:t>
      </w:r>
      <w:r>
        <w:t xml:space="preserve">an excuse to skip it.</w:t>
      </w:r>
    </w:p>
    <w:bookmarkEnd w:id="64"/>
    <w:bookmarkStart w:id="65" w:name="mandatory-commit-push-constraints"/>
    <w:p>
      <w:pPr>
        <w:pStyle w:val="Heading2"/>
      </w:pPr>
      <w:r>
        <w:t xml:space="preserve">MANDATORY COMMIT &amp; PUSH CONSTRAINTS</w:t>
      </w:r>
    </w:p>
    <w:p>
      <w:pPr>
        <w:pStyle w:val="Compact"/>
        <w:numPr>
          <w:ilvl w:val="0"/>
          <w:numId w:val="1012"/>
        </w:numPr>
      </w:pPr>
      <w:r>
        <w:rPr>
          <w:b/>
          <w:bCs/>
        </w:rPr>
        <w:t xml:space="preserve">Use the project’s official commit wrapper</w:t>
      </w:r>
      <w:r>
        <w:t xml:space="preserve"> </w:t>
      </w:r>
      <w:r>
        <w:t xml:space="preserve">for the main repo</w:t>
      </w:r>
      <w:r>
        <w:t xml:space="preserve"> </w:t>
      </w:r>
      <w:r>
        <w:t xml:space="preserve">(e.g. </w:t>
      </w:r>
      <w:r>
        <w:rPr>
          <w:rStyle w:val="VerbatimChar"/>
        </w:rPr>
        <w:t xml:space="preserve">scripts/commit_all.sh</w:t>
      </w:r>
      <w:r>
        <w:t xml:space="preserve">).</w:t>
      </w:r>
    </w:p>
    <w:p>
      <w:pPr>
        <w:pStyle w:val="Compact"/>
        <w:numPr>
          <w:ilvl w:val="0"/>
          <w:numId w:val="101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1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1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5"/>
    <w:bookmarkStart w:id="66"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13"/>
        </w:numPr>
      </w:pPr>
      <w:r>
        <w:rPr>
          <w:b/>
          <w:bCs/>
        </w:rPr>
        <w:t xml:space="preserve">Pre-build / pre-merge verification</w:t>
      </w:r>
      <w:r>
        <w:t xml:space="preserve"> </w:t>
      </w:r>
      <w:r>
        <w:t xml:space="preserve">— BEFORE every build.</w:t>
      </w:r>
    </w:p>
    <w:p>
      <w:pPr>
        <w:pStyle w:val="Compact"/>
        <w:numPr>
          <w:ilvl w:val="0"/>
          <w:numId w:val="1013"/>
        </w:numPr>
      </w:pPr>
      <w:r>
        <w:rPr>
          <w:b/>
          <w:bCs/>
        </w:rPr>
        <w:t xml:space="preserve">Post-build / packaging verification</w:t>
      </w:r>
      <w:r>
        <w:t xml:space="preserve"> </w:t>
      </w:r>
      <w:r>
        <w:t xml:space="preserve">— AFTER every build.</w:t>
      </w:r>
    </w:p>
    <w:p>
      <w:pPr>
        <w:pStyle w:val="Compact"/>
        <w:numPr>
          <w:ilvl w:val="0"/>
          <w:numId w:val="1013"/>
        </w:numPr>
      </w:pPr>
      <w:r>
        <w:rPr>
          <w:b/>
          <w:bCs/>
        </w:rPr>
        <w:t xml:space="preserve">Post-deploy verification</w:t>
      </w:r>
      <w:r>
        <w:t xml:space="preserve"> </w:t>
      </w:r>
      <w:r>
        <w:t xml:space="preserve">— AFTER every deploy / flash.</w:t>
      </w:r>
    </w:p>
    <w:p>
      <w:pPr>
        <w:pStyle w:val="FirstParagraph"/>
      </w:pPr>
      <w:r>
        <w:t xml:space="preserve">NEVER skip tests. NEVER mark a test as</w:t>
      </w:r>
      <w:r>
        <w:t xml:space="preserve"> </w:t>
      </w:r>
      <w:r>
        <w:t xml:space="preserve">“broken — disable for now”</w:t>
      </w:r>
      <w:r>
        <w:t xml:space="preserve"> </w:t>
      </w:r>
      <w:r>
        <w:t xml:space="preserve">without fixing the underlying issue. NEVER ship a release with</w:t>
      </w:r>
      <w:r>
        <w:t xml:space="preserve"> </w:t>
      </w:r>
      <w:r>
        <w:t xml:space="preserve">unresolved WARNs.</w:t>
      </w:r>
    </w:p>
    <w:bookmarkEnd w:id="66"/>
    <w:bookmarkStart w:id="67"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1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14"/>
        </w:numPr>
      </w:pPr>
      <w:r>
        <w:t xml:space="preserve">Static analyzers / linters / type-checkers MUST run clean (zero</w:t>
      </w:r>
      <w:r>
        <w:t xml:space="preserve"> </w:t>
      </w:r>
      <w:r>
        <w:t xml:space="preserve">warnings) before commit.</w:t>
      </w:r>
    </w:p>
    <w:p>
      <w:pPr>
        <w:pStyle w:val="Compact"/>
        <w:numPr>
          <w:ilvl w:val="0"/>
          <w:numId w:val="1014"/>
        </w:numPr>
      </w:pPr>
      <w:r>
        <w:t xml:space="preserve">Style is set by the project’s formatter; do not hand-edit style</w:t>
      </w:r>
      <w:r>
        <w:t xml:space="preserve"> </w:t>
      </w:r>
      <w:r>
        <w:t xml:space="preserve">in PRs.</w:t>
      </w:r>
    </w:p>
    <w:p>
      <w:pPr>
        <w:pStyle w:val="Compact"/>
        <w:numPr>
          <w:ilvl w:val="0"/>
          <w:numId w:val="1014"/>
        </w:numPr>
      </w:pPr>
      <w:r>
        <w:t xml:space="preserve">Public APIs are documented at the source.</w:t>
      </w:r>
    </w:p>
    <w:bookmarkEnd w:id="67"/>
    <w:bookmarkStart w:id="121" w:name="when-in-doubt"/>
    <w:p>
      <w:pPr>
        <w:pStyle w:val="Heading2"/>
      </w:pPr>
      <w:r>
        <w:t xml:space="preserve">When in doubt</w:t>
      </w:r>
    </w:p>
    <w:p>
      <w:pPr>
        <w:pStyle w:val="Compact"/>
        <w:numPr>
          <w:ilvl w:val="0"/>
          <w:numId w:val="101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15"/>
        </w:numPr>
      </w:pPr>
      <w:r>
        <w:t xml:space="preserve">Cross-reference the project’s CLAUDE.md / AGENTS.md for project-</w:t>
      </w:r>
      <w:r>
        <w:t xml:space="preserve"> </w:t>
      </w:r>
      <w:r>
        <w:t xml:space="preserve">specific extensions.</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6"/>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6"/>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6"/>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7"/>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7"/>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7"/>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8"/>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8"/>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8"/>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8"/>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8"/>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 non-negotiably — every credential/secret path per §11.4.10 (a secret reaching the index is a §11.4.10 violation).</w:t>
      </w:r>
      <w:r>
        <w:t xml:space="preserve"> </w:t>
      </w:r>
      <w:r>
        <w:rPr>
          <w:b/>
          <w:bCs/>
        </w:rPr>
        <w:t xml:space="preserve">CRITICAL — CodeGraph filter mechanism:</w:t>
      </w:r>
      <w:r>
        <w:t xml:space="preserve"> </w:t>
      </w:r>
      <w:r>
        <w:t xml:space="preserve">CodeGraph v1.x is zero-config. It does NOT use</w:t>
      </w:r>
      <w:r>
        <w:t xml:space="preserve"> </w:t>
      </w:r>
      <w:r>
        <w:rPr>
          <w:rStyle w:val="VerbatimChar"/>
        </w:rPr>
        <w:t xml:space="preserve">config.json</w:t>
      </w:r>
      <w:r>
        <w:t xml:space="preserve"> </w:t>
      </w:r>
      <w:r>
        <w:rPr>
          <w:rStyle w:val="VerbatimChar"/>
        </w:rPr>
        <w:t xml:space="preserve">include</w:t>
      </w:r>
      <w:r>
        <w:t xml:space="preserve">/</w:t>
      </w:r>
      <w:r>
        <w:rPr>
          <w:rStyle w:val="VerbatimChar"/>
        </w:rPr>
        <w:t xml:space="preserve">exclude</w:t>
      </w:r>
      <w:r>
        <w:t xml:space="preserve"> </w:t>
      </w:r>
      <w:r>
        <w:t xml:space="preserve">fields for file discovery. Filtering is done by a built-in ignore matcher seeded with defaults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To control indexing, use root-anchored</w:t>
      </w:r>
      <w:r>
        <w:t xml:space="preserve"> </w:t>
      </w:r>
      <w:r>
        <w:rPr>
          <w:rStyle w:val="VerbatimChar"/>
        </w:rPr>
        <w:t xml:space="preserve">.gitignore</w:t>
      </w:r>
      <w:r>
        <w:t xml:space="preserve"> </w:t>
      </w:r>
      <w:r>
        <w:t xml:space="preserve">patterns with</w:t>
      </w:r>
      <w:r>
        <w:t xml:space="preserve"> </w:t>
      </w:r>
      <w:r>
        <w:rPr>
          <w:rStyle w:val="VerbatimChar"/>
        </w:rPr>
        <w:t xml:space="preserve">!</w:t>
      </w:r>
      <w:r>
        <w:t xml:space="preserve"> </w:t>
      </w:r>
      <w:r>
        <w:t xml:space="preserve">negations for re-inclusion under default-skipped parents (e.g.,</w:t>
      </w:r>
      <w:r>
        <w:t xml:space="preserve"> </w:t>
      </w:r>
      <w:r>
        <w:rPr>
          <w:rStyle w:val="VerbatimChar"/>
        </w:rPr>
        <w:t xml:space="preserve">!/vendor/widevine_*</w:t>
      </w:r>
      <w:r>
        <w:t xml:space="preserve"> </w:t>
      </w:r>
      <w:r>
        <w:t xml:space="preserve">re-includes owned vendor code).</w:t>
      </w:r>
      <w:r>
        <w:t xml:space="preserve"> </w:t>
      </w:r>
      <w:r>
        <w:rPr>
          <w:b/>
          <w:bCs/>
        </w:rPr>
        <w:t xml:space="preserve">ALL SOURCE CODE MUST BE INDEXABLE</w:t>
      </w:r>
      <w:r>
        <w:t xml:space="preserve"> </w:t>
      </w:r>
      <w:r>
        <w:t xml:space="preserve">— including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cts/</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Only actual rubbish MAY be excluded: build outputs (</w:t>
      </w:r>
      <w:r>
        <w:rPr>
          <w:rStyle w:val="VerbatimChar"/>
        </w:rPr>
        <w:t xml:space="preserve">/out/</w:t>
      </w:r>
      <w:r>
        <w:t xml:space="preserve">,</w:t>
      </w:r>
      <w:r>
        <w:t xml:space="preserve"> </w:t>
      </w:r>
      <w:r>
        <w:rPr>
          <w:rStyle w:val="VerbatimChar"/>
        </w:rPr>
        <w:t xml:space="preserve">/prebuilts/</w:t>
      </w:r>
      <w:r>
        <w:t xml:space="preserve">,</w:t>
      </w:r>
      <w:r>
        <w:t xml:space="preserve"> </w:t>
      </w:r>
      <w:r>
        <w:rPr>
          <w:rStyle w:val="VerbatimChar"/>
        </w:rPr>
        <w:t xml:space="preserve">/rockdev/</w:t>
      </w:r>
      <w:r>
        <w:t xml:space="preserve">), caches (</w:t>
      </w:r>
      <w:r>
        <w:rPr>
          <w:rStyle w:val="VerbatimChar"/>
        </w:rPr>
        <w:t xml:space="preserve">.gradle/</w:t>
      </w:r>
      <w:r>
        <w:t xml:space="preserve">,</w:t>
      </w:r>
      <w:r>
        <w:t xml:space="preserve"> </w:t>
      </w:r>
      <w:r>
        <w:rPr>
          <w:rStyle w:val="VerbatimChar"/>
        </w:rPr>
        <w:t xml:space="preserve">__pycache__/</w:t>
      </w:r>
      <w:r>
        <w:t xml:space="preserve">), credentials/secrets (</w:t>
      </w:r>
      <w:r>
        <w:rPr>
          <w:rStyle w:val="VerbatimChar"/>
        </w:rPr>
        <w:t xml:space="preserve">/secrets/</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 forked-AOSP project with 1M+ tracked files will produce a correspondingly large index (30-40 GB for first init), which is expected and correct — the index must represent the full codebase the AI agent cross-references.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 </w:t>
      </w:r>
      <w:r>
        <w:rPr>
          <w:rStyle w:val="VerbatimChar"/>
        </w:rPr>
        <w:t xml:space="preserve">RLIMIT_CPU</w:t>
      </w:r>
      <w:r>
        <w:t xml:space="preserve">+</w:t>
      </w:r>
      <w:r>
        <w:rPr>
          <w:rStyle w:val="VerbatimChar"/>
        </w:rPr>
        <w:t xml:space="preserve">SIGXCPU</w:t>
      </w:r>
      <w:r>
        <w:t xml:space="preserve"> </w:t>
      </w:r>
      <w:r>
        <w:t xml:space="preserve">as the macOS proxy for</w:t>
      </w:r>
      <w:r>
        <w:t xml:space="preserve"> </w:t>
      </w:r>
      <w:r>
        <w:t xml:space="preserve">“process is bounded”</w:t>
      </w:r>
      <w:r>
        <w:t xml:space="preserve">).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w:t>
      </w:r>
      <w:r>
        <w:t xml:space="preserve"> </w:t>
      </w:r>
      <w:r>
        <w:t xml:space="preserve">“we didn’t implement yet”</w:t>
      </w:r>
      <w:r>
        <w:t xml:space="preserve">),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w:t>
      </w:r>
      <w:r>
        <w:t xml:space="preserve"> </w:t>
      </w: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19"/>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19"/>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19"/>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19"/>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19"/>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19"/>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19"/>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19"/>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19"/>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0" w:name="Xc0e547589a000b4ff39571fc9bf04c5a5725fe1"/>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the operator instructs an AI agent to</w:t>
      </w:r>
      <w:r>
        <w:t xml:space="preserve"> </w:t>
      </w:r>
      <w:r>
        <w:t xml:space="preserve">“continue in endless loop fully autonomously”</w:t>
      </w:r>
      <w:r>
        <w:t xml:space="preserve"> </w:t>
      </w:r>
      <w:r>
        <w:t xml:space="preserve">(or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w:t>
      </w:r>
      <w:r>
        <w:t xml:space="preserve"> </w:t>
      </w:r>
      <w:r>
        <w:t xml:space="preserve">“waiting for results”</w:t>
      </w:r>
      <w:r>
        <w:t xml:space="preserve"> </w:t>
      </w:r>
      <w:r>
        <w:t xml:space="preserve">is the ONLY acceptable idle reason; (C) every closure lands four-layer test coverage per §11.4.4(b) with captured-evidence (audio/video/network/UI/sysfs —</w:t>
      </w:r>
      <w:r>
        <w:t xml:space="preserve"> </w:t>
      </w:r>
      <w:r>
        <w:t xml:space="preserve">“physical proofs”</w:t>
      </w:r>
      <w:r>
        <w:t xml:space="preserve">); (D) the §11.4 anti-bluff covenant family (§11.4.1/§11.4.2/§11.4.6/§11.4.7/§11.4.27/§11.4.50/§11.4.52/§11.4.68/§11.4.69/§11.4.83) is the operative truth-discipline — tests AND HelixQA Challenges bound equally per the historical forensic anchor</w:t>
      </w:r>
      <w:r>
        <w:t xml:space="preserve"> </w:t>
      </w:r>
      <w:r>
        <w:t xml:space="preserve">“we had been in position that all tests do execute with success and all Challenges as well, but in reality the most of the features does not work and can’t be used”</w:t>
      </w:r>
      <w:r>
        <w:t xml:space="preserve">;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w:t>
      </w:r>
      <w:r>
        <w:t xml:space="preserve"> </w:t>
      </w:r>
      <w:r>
        <w:t xml:space="preserve">“no external dependency in-flight”</w:t>
      </w:r>
      <w:r>
        <w:t xml:space="preserve"> </w:t>
      </w:r>
      <w:r>
        <w:t xml:space="preserve">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c2e27421b727ba2779108faf452a946a3cfca8a"/>
    <w:p>
      <w:pPr>
        <w:pStyle w:val="Heading3"/>
      </w:pPr>
      <w:r>
        <w:t xml:space="preserve">§11.4.90 — Obsolete status + per-item obsolescence audit (User mandate, 2026-05-27)</w:t>
      </w:r>
    </w:p>
    <w:p>
      <w:pPr>
        <w:pStyle w:val="FirstParagraph"/>
      </w:pPr>
      <w:r>
        <w:t xml:space="preserve">Forensic anchor — verbatim user mandate (2026-05-27):</w:t>
      </w:r>
      <w:r>
        <w:t xml:space="preserve"> </w:t>
      </w:r>
      <w:r>
        <w:t xml:space="preserve">“Bug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§11.4.90. Non-compliance is a release blocker.</w:t>
      </w:r>
    </w:p>
    <w:bookmarkEnd w:id="77"/>
    <w:bookmarkStart w:id="78" w:name="X180a39a34ee2a64381ac059c572df31d588a05a"/>
    <w:p>
      <w:pPr>
        <w:pStyle w:val="Heading3"/>
      </w:pPr>
      <w:r>
        <w:t xml:space="preserve">§11.4.91 — Summary-doc clarity mandate (User mandate, 2026-05-27)</w:t>
      </w:r>
    </w:p>
    <w:p>
      <w:pPr>
        <w:pStyle w:val="FirstParagraph"/>
      </w:pPr>
      <w:r>
        <w:t xml:space="preserve">Forensic anchor — verbatim user mandate (2026-05-27):</w:t>
      </w:r>
      <w:r>
        <w:t xml:space="preserve"> </w:t>
      </w:r>
      <w:r>
        <w:t xml:space="preserve">“Summary docs - Issues_Summary some not clear one line descriptions - like</w:t>
      </w:r>
      <w:r>
        <w:t xml:space="preserve"> </w:t>
      </w:r>
      <w:r>
        <w:t xml:space="preserve">‘Composes with’</w:t>
      </w:r>
      <w:r>
        <w:t xml:space="preserve"> </w:t>
      </w:r>
      <w:r>
        <w:t xml:space="preserve">…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§11.4.91. Non-compliance is a release blocker.</w:t>
      </w:r>
    </w:p>
    <w:bookmarkEnd w:id="78"/>
    <w:bookmarkStart w:id="79" w:name="Xbe7f461f174242c87761caa00233eb814c37407"/>
    <w:p>
      <w:pPr>
        <w:pStyle w:val="Heading3"/>
      </w:pPr>
      <w:r>
        <w:t xml:space="preserve">§11.4.92 — Multi-pass change-evaluation discipline (User mandate, 2026-05-27)</w:t>
      </w:r>
    </w:p>
    <w:p>
      <w:pPr>
        <w:pStyle w:val="FirstParagraph"/>
      </w:pPr>
      <w:r>
        <w:t xml:space="preserve">Forensic anchor — verbatim user mandate (2026-05-27):</w:t>
      </w:r>
      <w:r>
        <w:t xml:space="preserve"> </w:t>
      </w:r>
      <w:r>
        <w:t xml:space="preserve">“Every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w:t>
      </w:r>
      <w:r>
        <w:t xml:space="preserve"> </w:t>
      </w:r>
      <w:r>
        <w:t xml:space="preserve">“NO external solution found — original work”</w:t>
      </w:r>
      <w:r>
        <w:t xml:space="preserve"> </w:t>
      </w:r>
      <w:r>
        <w:t xml:space="preserve">+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§11.4.92. Non-compliance is a release blocker.</w:t>
      </w:r>
    </w:p>
    <w:bookmarkEnd w:id="79"/>
    <w:bookmarkStart w:id="80" w:name="X45105d9baf9167057cdf28fe741b82199333fac"/>
    <w:p>
      <w:pPr>
        <w:pStyle w:val="Heading3"/>
      </w:pPr>
      <w:r>
        <w:t xml:space="preserve">§11.4.93 — SQLite-backed single-source-of-truth for workable items (User mandate, 2026-05-27)</w:t>
      </w:r>
    </w:p>
    <w:p>
      <w:pPr>
        <w:pStyle w:val="FirstParagraph"/>
      </w:pPr>
      <w:r>
        <w:t xml:space="preserve">Forensic anchor — verbatim user mandate (2026-05-27):</w:t>
      </w:r>
      <w:r>
        <w:t xml:space="preserve"> </w:t>
      </w:r>
      <w:r>
        <w:t xml:space="preserve">“There MUST be single source of truth for all of our workable items - SQlite database … proper scripts (we recommend Go programs) … reduce a chance for sync to be broken … generate always all docs from DB or to re-generate Db from all docs we have in opposite direction”</w:t>
      </w:r>
      <w:r>
        <w:t xml:space="preserve">.</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670e9f3b718bdf4b352b15432b07528762cdedb"/>
    <w:p>
      <w:pPr>
        <w:pStyle w:val="Heading3"/>
      </w:pPr>
      <w:r>
        <w:t xml:space="preserve">§11.4.94 — Zero-idle priority-first parallel-by-default operating mode (User mandate, 2026-05-27)</w:t>
      </w:r>
    </w:p>
    <w:p>
      <w:pPr>
        <w:pStyle w:val="FirstParagraph"/>
      </w:pPr>
      <w:r>
        <w:t xml:space="preserve">Forensic anchor — verbatim user mandate (2026-05-27):</w:t>
      </w:r>
      <w:r>
        <w:t xml:space="preserve"> </w:t>
      </w:r>
      <w:r>
        <w:t xml:space="preserve">“We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w:t>
      </w:r>
      <w:r>
        <w:t xml:space="preserve"> </w:t>
      </w:r>
      <w:r>
        <w:t xml:space="preserve">“don’t see what to do”</w:t>
      </w:r>
      <w:r>
        <w:t xml:space="preserve"> </w:t>
      </w:r>
      <w:r>
        <w:t xml:space="preserve">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w:t>
      </w:r>
      <w:r>
        <w:t xml:space="preserve"> </w:t>
      </w:r>
      <w:r>
        <w:t xml:space="preserve">“nothing to do — sleeping”</w:t>
      </w:r>
      <w:r>
        <w:t xml:space="preserve"> </w:t>
      </w:r>
      <w:r>
        <w:t xml:space="preserve">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§11.4.94. Non-compliance is a release blocker.</w:t>
      </w:r>
    </w:p>
    <w:bookmarkEnd w:id="81"/>
    <w:bookmarkStart w:id="82" w:name="Xd908a14e22eb8f59f3398097d1e360d80a402f1"/>
    <w:p>
      <w:pPr>
        <w:pStyle w:val="Heading3"/>
      </w:pPr>
      <w:r>
        <w:t xml:space="preserve">§11.4.95 — Workable-items SQLite DB TRACKED in git, NEVER gitignored (User mandate, 2026-05-27)</w:t>
      </w:r>
    </w:p>
    <w:p>
      <w:pPr>
        <w:pStyle w:val="FirstParagraph"/>
      </w:pPr>
      <w:r>
        <w:t xml:space="preserve">Forensic anchor — verbatim user mandate (2026-05-27):</w:t>
      </w:r>
      <w:r>
        <w:t xml:space="preserve"> </w:t>
      </w:r>
      <w:r>
        <w:t xml:space="preserve">“We shall not Git ignore our workable items SQlite DB since it is our single source of truth … workable items SQlite DB regularly commited and pushed to all upstreams!”</w:t>
      </w:r>
    </w:p>
    <w:p>
      <w:pPr>
        <w:pStyle w:val="BodyText"/>
      </w:pPr>
      <w:r>
        <w:t xml:space="preserve">§11.4.93’s earlier</w:t>
      </w:r>
      <w:r>
        <w:t xml:space="preserve"> </w:t>
      </w:r>
      <w:r>
        <w:t xml:space="preserve">“gitignored per §11.4.30”</w:t>
      </w:r>
      <w:r>
        <w:t xml:space="preserve"> </w:t>
      </w:r>
      <w:r>
        <w:t xml:space="preserve">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§11.4.95. Non-compliance is a release blocker.</w:t>
      </w:r>
    </w:p>
    <w:bookmarkEnd w:id="82"/>
    <w:bookmarkStart w:id="83" w:name="Xd4eda0aa8007d4eed7790e9b89cdbd410a9e351"/>
    <w:p>
      <w:pPr>
        <w:pStyle w:val="Heading3"/>
      </w:pPr>
      <w:r>
        <w:t xml:space="preserve">§11.4.96 — Safe-parallel-work-with-long-build catalogue + mandate (User mandate, 2026-05-27)</w:t>
      </w:r>
    </w:p>
    <w:p>
      <w:pPr>
        <w:pStyle w:val="FirstParagraph"/>
      </w:pPr>
      <w:r>
        <w:t xml:space="preserve">Forensic anchor — verbatim user mandate (2026-05-27):</w:t>
      </w:r>
      <w:r>
        <w:t xml:space="preserve"> </w:t>
      </w:r>
      <w:r>
        <w:t xml:space="preserve">“Are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w:t>
      </w:r>
      <w:r>
        <w:t xml:space="preserve"> </w:t>
      </w:r>
      <w:r>
        <w:t xml:space="preserve">“Build running, nothing else to do”</w:t>
      </w:r>
      <w:r>
        <w:t xml:space="preserve"> </w:t>
      </w:r>
      <w:r>
        <w:t xml:space="preserve">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§11.4.96. Non-compliance is a release blocker.</w:t>
      </w:r>
    </w:p>
    <w:bookmarkEnd w:id="83"/>
    <w:bookmarkStart w:id="84" w:name="Xb1ff67f2bb68684a932262e93822c674bd8aa63"/>
    <w:p>
      <w:pPr>
        <w:pStyle w:val="Heading3"/>
      </w:pPr>
      <w:r>
        <w:t xml:space="preserve">§11.4.97 — Maximum-use-of-idle-time + progress-update cadence (User mandate, 2026-05-27)</w:t>
      </w:r>
    </w:p>
    <w:p>
      <w:pPr>
        <w:pStyle w:val="FirstParagraph"/>
      </w:pPr>
      <w:r>
        <w:t xml:space="preserve">Forensic anchor — verbatim user mandate (2026-05-27):</w:t>
      </w:r>
      <w:r>
        <w:t xml:space="preserve"> </w:t>
      </w:r>
      <w:r>
        <w:t xml:space="preserve">“keep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w:t>
      </w:r>
      <w:r>
        <w:t xml:space="preserve"> </w:t>
      </w:r>
      <w:r>
        <w:t xml:space="preserve">“as much as possible, if not it all but as much as we can”</w:t>
      </w:r>
      <w:r>
        <w:t xml:space="preserve"> </w:t>
      </w:r>
      <w:r>
        <w:t xml:space="preserve">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§11.4.97. Non-compliance is a release blocker.</w:t>
      </w:r>
    </w:p>
    <w:bookmarkEnd w:id="84"/>
    <w:bookmarkStart w:id="8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Compact"/>
        <w:numPr>
          <w:ilvl w:val="0"/>
          <w:numId w:val="1020"/>
        </w:numPr>
      </w:pPr>
      <w:r>
        <w:t xml:space="preserve">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w:t>
      </w:r>
      <w:r>
        <w:t xml:space="preserve"> </w:t>
      </w:r>
      <w:r>
        <w:t xml:space="preserve">“operator MUST type a message”</w:t>
      </w:r>
      <w:r>
        <w:t xml:space="preserve"> </w:t>
      </w:r>
      <w:r>
        <w:t xml:space="preserve">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FirstParagraph"/>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§11.4.98. Non-compliance is a release blocker.</w:t>
      </w:r>
    </w:p>
    <w:bookmarkEnd w:id="85"/>
    <w:bookmarkStart w:id="86"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w:t>
      </w:r>
      <w:r>
        <w:t xml:space="preserve"> </w:t>
      </w:r>
      <w:r>
        <w:t xml:space="preserve">“Make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w:t>
      </w:r>
      <w:r>
        <w:t xml:space="preserve"> </w:t>
      </w:r>
      <w:r>
        <w:t xml:space="preserve">“## Sources verified”</w:t>
      </w:r>
      <w:r>
        <w:t xml:space="preserve"> </w:t>
      </w:r>
      <w:r>
        <w:t xml:space="preserve">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w:t>
      </w:r>
      <w:r>
        <w:t xml:space="preserve"> </w:t>
      </w:r>
      <w:r>
        <w:t xml:space="preserve">“Sources verified</w:t>
      </w:r>
      <w:r>
        <w:t xml:space="preserve"> </w:t>
      </w:r>
      <w:r>
        <w:t xml:space="preserve">”</w:t>
      </w:r>
      <w:r>
        <w:t xml:space="preserve"> </w:t>
      </w:r>
      <w:r>
        <w:t xml:space="preserve">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6"/>
    <w:bookmarkStart w:id="87" w:name="X490685c5ee037d09c832b74717ab315dbd9f4ff"/>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w:t>
      </w:r>
      <w:r>
        <w:t xml:space="preserve">“probably transient / flaky”</w:t>
      </w:r>
      <w:r>
        <w:t xml:space="preserve">)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w:t>
      </w:r>
      <w:r>
        <w:t xml:space="preserve"> </w:t>
      </w:r>
      <w:r>
        <w:t xml:space="preserve">“nothing visible to do”</w:t>
      </w:r>
      <w:r>
        <w:t xml:space="preserve"> </w:t>
      </w:r>
      <w:r>
        <w:t xml:space="preserve">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392079f322559b0d5165dc5cfd881afb311571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w:t>
      </w:r>
      <w:r>
        <w:t xml:space="preserve"> </w:t>
      </w:r>
      <w:r>
        <w:t xml:space="preserve">“a picture”</w:t>
      </w:r>
      <w:r>
        <w:t xml:space="preserve"> </w:t>
      </w:r>
      <w:r>
        <w:t xml:space="preserve">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NOT independent bugs — it is ONE architectural VERIFICATION flaw; patching each symptom is thrashing.</w:t>
      </w:r>
    </w:p>
    <w:p>
      <w:pPr>
        <w:pStyle w:val="BodyText"/>
      </w:pPr>
      <w:r>
        <w:t xml:space="preserve">A fix crosses FOUR distinct layers, and</w:t>
      </w:r>
      <w:r>
        <w:t xml:space="preserve"> </w:t>
      </w:r>
      <w:r>
        <w:t xml:space="preserve">“fixed”</w:t>
      </w:r>
      <w:r>
        <w:t xml:space="preserve"> </w:t>
      </w:r>
      <w:r>
        <w:t xml:space="preserve">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w:t>
      </w:r>
      <w:r>
        <w:t xml:space="preserve"> </w:t>
      </w:r>
      <w:r>
        <w:t xml:space="preserve">“clean baseline”</w:t>
      </w:r>
      <w:r>
        <w:t xml:space="preserve"> </w:t>
      </w:r>
      <w:r>
        <w:t xml:space="preserve">=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w:t>
      </w:r>
      <w:r>
        <w:t xml:space="preserve"> </w:t>
      </w:r>
      <w:r>
        <w:t xml:space="preserve">“probably can’t”</w:t>
      </w:r>
      <w:r>
        <w:t xml:space="preserve">) / §11.4.7 (reopening requires NEW positive evidence) / §11.4.8 (</w:t>
      </w:r>
      <w:r>
        <w:t xml:space="preserve">“NO external solution found — structurally impossible”</w:t>
      </w:r>
      <w:r>
        <w:t xml:space="preserve"> </w:t>
      </w:r>
      <w:r>
        <w:t xml:space="preserve">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90f8d27aba241fb8194dfdd4dced0f806c1881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w:t>
      </w:r>
      <w:r>
        <w:t xml:space="preserve"> </w:t>
      </w:r>
      <w:r>
        <w:t xml:space="preserve">“after a merge-first audit”</w:t>
      </w:r>
      <w:r>
        <w:t xml:space="preserve"> </w:t>
      </w:r>
      <w:r>
        <w:t xml:space="preserve">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w:t>
      </w:r>
      <w:r>
        <w:t xml:space="preserve"> </w:t>
      </w:r>
      <w:r>
        <w:t xml:space="preserve">“…then force-push”</w:t>
      </w:r>
      <w:r>
        <w:t xml:space="preserve"> </w:t>
      </w:r>
      <w:r>
        <w:t xml:space="preserve">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w:t>
      </w:r>
      <w:r>
        <w:t xml:space="preserve"> </w:t>
      </w:r>
      <w:r>
        <w:t xml:space="preserve">“it worked before”</w:t>
      </w:r>
      <w:r>
        <w:t xml:space="preserve"> </w:t>
      </w:r>
      <w:r>
        <w:t xml:space="preserve">is a HYPOTHESIS until the known-good tag is identified AND the feature is confirmed working there;</w:t>
      </w:r>
      <w:r>
        <w:t xml:space="preserve"> </w:t>
      </w:r>
      <w:r>
        <w:t xml:space="preserve">“probably regressed in the last batch”</w:t>
      </w:r>
      <w:r>
        <w:t xml:space="preserve"> </w:t>
      </w:r>
      <w:r>
        <w:t xml:space="preserve">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w:t>
      </w:r>
      <w:r>
        <w:t xml:space="preserve"> </w:t>
      </w:r>
      <w:r>
        <w:t xml:space="preserve">“near-empty hierarchy → INFEASIBLE”</w:t>
      </w:r>
      <w:r>
        <w:t xml:space="preserve"> </w:t>
      </w:r>
      <w:r>
        <w:t xml:space="preserve">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 findings trigger §11.4.4 interrupt + the §11.4.114/§11.4.115 isolation→RED→fix loop. Honest boundary (§11.4.6): discovery reduces the unknown-unknown surface but does not prove zero remaining defects — the earned claim is</w:t>
      </w:r>
      <w:r>
        <w:t xml:space="preserve"> </w:t>
      </w:r>
      <w:r>
        <w:t xml:space="preserve">“reported set + enumerated discovery set addressed,”</w:t>
      </w:r>
      <w:r>
        <w:t xml:space="preserve"> </w:t>
      </w:r>
      <w:r>
        <w:t xml:space="preserve">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w:t>
      </w:r>
      <w:r>
        <w:t xml:space="preserve"> </w:t>
      </w:r>
      <w:r>
        <w:t xml:space="preserve">“stale gate, reconcile”</w:t>
      </w:r>
      <w:r>
        <w:t xml:space="preserve"> </w:t>
      </w:r>
      <w:r>
        <w:t xml:space="preserve">—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w:t>
      </w:r>
      <w:r>
        <w:t xml:space="preserve"> </w:t>
      </w:r>
      <w:r>
        <w:t xml:space="preserve">“commit captures transient non-final tree state”</w:t>
      </w:r>
      <w:r>
        <w:t xml:space="preserve"> </w:t>
      </w:r>
      <w:r>
        <w:t xml:space="preserve">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w:t>
      </w:r>
      <w:r>
        <w:t xml:space="preserve"> </w:t>
      </w:r>
      <w:r>
        <w:t xml:space="preserve">“Unclear how to validate”</w:t>
      </w:r>
      <w:r>
        <w:t xml:space="preserve"> </w:t>
      </w:r>
      <w:r>
        <w:t xml:space="preserve">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w:t>
      </w:r>
      <w:r>
        <w:t xml:space="preserve"> </w:t>
      </w:r>
      <w:r>
        <w:t xml:space="preserve">“untestable”</w:t>
      </w:r>
      <w:r>
        <w:t xml:space="preserve"> </w:t>
      </w:r>
      <w:r>
        <w:t xml:space="preserve">/</w:t>
      </w:r>
      <w:r>
        <w:t xml:space="preserve"> </w:t>
      </w:r>
      <w:r>
        <w:t xml:space="preserve">“not automatable”</w:t>
      </w:r>
      <w:r>
        <w:t xml:space="preserve"> </w:t>
      </w:r>
      <w:r>
        <w:t xml:space="preserve">/ accepting a metadata-only PASS WITHOUT first exhausting this deep-research path is itself a §11.4.123 violation — same severity class as a PASS-bluff. The research output (cited source URLs + the evidence-producing method, OR the literal</w:t>
      </w:r>
      <w:r>
        <w:t xml:space="preserve"> </w:t>
      </w:r>
      <w:r>
        <w:t xml:space="preserve">“NO external solution found — original work”</w:t>
      </w:r>
      <w:r>
        <w:t xml:space="preserve"> </w:t>
      </w:r>
      <w:r>
        <w:t xml:space="preserve">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w:t>
      </w:r>
      <w:r>
        <w:t xml:space="preserve"> </w:t>
      </w:r>
      <w:r>
        <w:t xml:space="preserve">“probably dead”</w:t>
      </w:r>
      <w:r>
        <w:t xml:space="preserve"> </w:t>
      </w:r>
      <w:r>
        <w:t xml:space="preserve">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w:t>
      </w:r>
      <w:r>
        <w:t xml:space="preserve"> </w:t>
      </w:r>
      <w:r>
        <w:t xml:space="preserve">“the fix probably took”</w:t>
      </w:r>
      <w:r>
        <w:t xml:space="preserve"> </w:t>
      </w:r>
      <w:r>
        <w:t xml:space="preserve">≠</w:t>
      </w:r>
      <w:r>
        <w:t xml:space="preserve"> </w:t>
      </w:r>
      <w:r>
        <w:t xml:space="preserve">“the fix took”</w:t>
      </w:r>
      <w:r>
        <w:t xml:space="preserve"> </w:t>
      </w:r>
      <w:r>
        <w:t xml:space="preserve">—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w:t>
      </w:r>
      <w:r>
        <w:t xml:space="preserve"> </w:t>
      </w:r>
      <w:r>
        <w:t xml:space="preserve">“validate the just-fixed items first”</w:t>
      </w:r>
      <w:r>
        <w:t xml:space="preserve"> </w:t>
      </w:r>
      <w:r>
        <w:t xml:space="preserve">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w:t>
      </w:r>
      <w:r>
        <w:t xml:space="preserve"> </w:t>
      </w:r>
      <w:r>
        <w:t xml:space="preserve">“until no blocking findings remain”</w:t>
      </w:r>
      <w:r>
        <w:t xml:space="preserve">):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(§11.4.6): vision verification confirms the feature produced expected on-screen output — it does NOT replace §11.4.5 captured-evidence quality analysis (audio/video metrics) nor §11.4.108 runtime-signature verification; FLAG_SECURE/DRM-protected/sink-blanked surfaces document the gap per §11.4.112 and use the §11.4.117 proxy oracle instead.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(§11.4.6):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(https://github.com/nexu-io/open-design)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 MP4, audio WAV, screenshots PNG, asciinema cast, text output) MUST pass through a MEDIA VALIDATION pipeline before acceptance — OCR for video/screenshots with confidence floor (§11.4.117/.107(12)), transcription for audio, text parsing for asciicast; compare extracted content against SPECIFY-phase expected patterns (§11.4.159(J)); self-validated analyzer with golden-good/golden-bad fixture pair (§11.4.107(10)) — golden-bad MUST FAIL or the pipeline is a bluff gate; produce structured verdict (PASS/FAIL + evidence path + matched/unmatched patterns + pinpoint data on FAIL — which frame/line/timestamp, expected vs actual); triggerable as post-recording AND real-time step (§11.4.159(M)); paired §1.1 mutation ensures golden-bad fixture produces FAIL. Honest boundary: confirms artifact content matches intended patterns — does NOT replace §11.4.5 quality analysis, §11.4.107 liveness, nor §11.4.108 runtime-signature. Classification: universal (§11.4.17). Composes §11.4.107(10)/.112/.117/.159(J)/.159(K)/.159(M)/.83/.5/.69/.102/.134/§1.1. Propagation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by reference §11.4.28, NEVER copied) that: (a) detects which files changed (Constitution.md/CLAUDE/AGENTS/QWEN/GEMINI + scripts/ hooks/ skills/ mcp/ plugins/) via</w:t>
      </w:r>
      <w:r>
        <w:t xml:space="preserve"> </w:t>
      </w:r>
      <w:r>
        <w:rPr>
          <w:rStyle w:val="VerbatimChar"/>
        </w:rPr>
        <w:t xml:space="preserve">git diff --name-only</w:t>
      </w:r>
      <w:r>
        <w:t xml:space="preserve">; (b) registers new/modified skills with the agent’s skill system via consumer’s</w:t>
      </w:r>
      <w:r>
        <w:t xml:space="preserve"> </w:t>
      </w:r>
      <w:r>
        <w:rPr>
          <w:rStyle w:val="VerbatimChar"/>
        </w:rPr>
        <w:t xml:space="preserve">scripts/register_skills.sh</w:t>
      </w:r>
      <w:r>
        <w:t xml:space="preserve">; (c) registers new/modified MCP servers via consumer’s</w:t>
      </w:r>
      <w:r>
        <w:t xml:space="preserve"> </w:t>
      </w:r>
      <w:r>
        <w:rPr>
          <w:rStyle w:val="VerbatimChar"/>
        </w:rPr>
        <w:t xml:space="preserve">scripts/register_mcp.sh</w:t>
      </w:r>
      <w:r>
        <w:t xml:space="preserve">; (d) installs new/modified hooks into</w:t>
      </w:r>
      <w:r>
        <w:t xml:space="preserve"> </w:t>
      </w:r>
      <w:r>
        <w:rPr>
          <w:rStyle w:val="VerbatimChar"/>
        </w:rPr>
        <w:t xml:space="preserve">.git/hooks/</w:t>
      </w:r>
      <w:r>
        <w:t xml:space="preserve">; (e) makes scripts executable + validates syntax (</w:t>
      </w:r>
      <w:r>
        <w:rPr>
          <w:rStyle w:val="VerbatimChar"/>
        </w:rPr>
        <w:t xml:space="preserve">sh -n</w:t>
      </w:r>
      <w:r>
        <w:t xml:space="preserve">/</w:t>
      </w:r>
      <w:r>
        <w:rPr>
          <w:rStyle w:val="VerbatimChar"/>
        </w:rPr>
        <w:t xml:space="preserve">bash -n</w:t>
      </w:r>
      <w:r>
        <w:t xml:space="preserve"> </w:t>
      </w:r>
      <w:r>
        <w:t xml:space="preserve">per §11.4.67); (f) emits a summary to stdout +</w:t>
      </w:r>
      <w:r>
        <w:t xml:space="preserve"> </w:t>
      </w:r>
      <w:r>
        <w:rPr>
          <w:rStyle w:val="VerbatimChar"/>
        </w:rPr>
        <w:t xml:space="preserve">.constitution/state/last_update.log</w:t>
      </w:r>
      <w:r>
        <w:t xml:space="preserve">; (g) on failure logs exact file:line and continues (§11.4.6); (h) tested by §1.1 mutation (add skill → hook detects it). Consumer MUST invoke hook after every constitutional pull; failure to invoke is non-compliance. Honest boundary: installs components — does NOT guarantee consumer runtime acceptance nor replace §11.4.32 validation sweep. Classification: universal (§11.4.17). Composes §11.4.28/.32/.35/.67/.77/.102(B)/.122/.31/§1.1.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 change OR recorded media artifact MUST pass an INDEPENDENT verifier structurally separate from the author (§11.4.70/.20, NEVER author self-review — §11.4.92 PRECEDES, never satisfies), producing structured findings with evidence paths and iterating to GO per §11.4.134. (a) CODE: §11.4.142 review + build+test diff scope + run paired §1.1 mutations + verify §11.4.108 runtime-signature registry; (b) MEDIA: run §11.4.163 pipeline + confirm genuine content (no mock/stub/placeholder §11.4.159(I)) + confirm format (MP4 H.264/WAV/PNG/cast+mp4 §11.4.159(B)) + cross-check evidence path; (c) DOCS: validate HTML+PDF+DOCX exports current §11.4.65 + revision header incremented §11.4.44 + §11.4.86 fingerprint match; (d) CONFIG: validate YAML/JSON/TOML syntax + schema cross-reference + §11.4.10 leak check; (e–f) structured findings, iterate to zero-finding GO; (g) verifier self-validated by §1.1 mutation (knowingly broken change MUST be caught). Honest boundary: confirms source/artifact integrity — does NOT replace §11.4.108 runtime-signature nor §11.4.40 full-suite retest. Classification: universal (§11.4.17). Composes §11.4.142/.163/.44/.65/.86/.108/.125/.134/.10/.40/.92/.70/.20/.102/.159(I)/.159(B)/§1.1.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2026-06-22T17:58:11Z</dcterms:created>
  <dcterms:modified xsi:type="dcterms:W3CDTF">2026-06-22T17:58:11Z</dcterms:modified>
</cp:coreProperties>
</file>

<file path=docProps/custom.xml><?xml version="1.0" encoding="utf-8"?>
<Properties xmlns="http://schemas.openxmlformats.org/officeDocument/2006/custom-properties" xmlns:vt="http://schemas.openxmlformats.org/officeDocument/2006/docPropsVTypes"/>
</file>