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613bc4e42896658b32576022dff3db33a63672"/>
    <w:p>
      <w:pPr>
        <w:pStyle w:val="Heading1"/>
      </w:pPr>
      <w:r>
        <w:t xml:space="preserve">Semgrep Token Setup — Operator Step-by-Step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2026-06-22T00:00:00Z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Constitution.md</w:t>
            </w:r>
            <w:r>
              <w:t xml:space="preserve"> </w:t>
            </w:r>
            <w:r>
              <w:t xml:space="preserve">§11.4.166,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§11.4.166,</w:t>
            </w:r>
            <w:r>
              <w:t xml:space="preserve"> </w:t>
            </w:r>
            <w:r>
              <w:rPr>
                <w:rStyle w:val="VerbatimChar"/>
              </w:rPr>
              <w:t xml:space="preserve">docs/semgrep/CONSUMER_ONBOARDING.md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scripts/semgrep/*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 verified</w:t>
            </w:r>
          </w:p>
        </w:tc>
        <w:tc>
          <w:tcPr/>
          <w:p>
            <w:pPr>
              <w:pStyle w:val="Compact"/>
            </w:pPr>
            <w:r>
              <w:t xml:space="preserve">2026-06-22 (see</w:t>
            </w:r>
            <w:r>
              <w:t xml:space="preserve"> </w:t>
            </w:r>
            <w:hyperlink w:anchor="X6b4e44cc0cc98a391d99f4dd5ed5af8fcaadc27">
              <w:r>
                <w:rPr>
                  <w:rStyle w:val="Hyperlink"/>
                </w:rPr>
                <w:t xml:space="preserve">§7 Sources</w:t>
              </w:r>
            </w:hyperlink>
            <w:r>
              <w:t xml:space="preserve">)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32d753eeb13537e1c0f8bdf805ef642bd6bc33">
        <w:r>
          <w:rPr>
            <w:rStyle w:val="Hyperlink"/>
          </w:rPr>
          <w:t xml:space="preserve">1. Do you even need a token?</w:t>
        </w:r>
      </w:hyperlink>
    </w:p>
    <w:p>
      <w:pPr>
        <w:pStyle w:val="Compact"/>
        <w:numPr>
          <w:ilvl w:val="0"/>
          <w:numId w:val="1001"/>
        </w:numPr>
      </w:pPr>
      <w:hyperlink w:anchor="X6f48944687b185f67b0929b69a58037babd06d6">
        <w:r>
          <w:rPr>
            <w:rStyle w:val="Hyperlink"/>
          </w:rPr>
          <w:t xml:space="preserve">2. Which token type to choose</w:t>
        </w:r>
      </w:hyperlink>
    </w:p>
    <w:p>
      <w:pPr>
        <w:pStyle w:val="Compact"/>
        <w:numPr>
          <w:ilvl w:val="0"/>
          <w:numId w:val="1001"/>
        </w:numPr>
      </w:pPr>
      <w:hyperlink w:anchor="X186c1a155b9714ec230fa29862f9bc3b2c9c5c7">
        <w:r>
          <w:rPr>
            <w:rStyle w:val="Hyperlink"/>
          </w:rPr>
          <w:t xml:space="preserve">3. Method A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semgrep login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(recommended, easiest)</w:t>
        </w:r>
      </w:hyperlink>
    </w:p>
    <w:p>
      <w:pPr>
        <w:pStyle w:val="Compact"/>
        <w:numPr>
          <w:ilvl w:val="0"/>
          <w:numId w:val="1001"/>
        </w:numPr>
      </w:pPr>
      <w:hyperlink w:anchor="X93a45edc2534f3d87ee48cd8a75c3b5c0b32f3f">
        <w:r>
          <w:rPr>
            <w:rStyle w:val="Hyperlink"/>
          </w:rPr>
          <w:t xml:space="preserve">4. Method B — Web UI (Settings → Tokens)</w:t>
        </w:r>
      </w:hyperlink>
    </w:p>
    <w:p>
      <w:pPr>
        <w:pStyle w:val="Compact"/>
        <w:numPr>
          <w:ilvl w:val="0"/>
          <w:numId w:val="1001"/>
        </w:numPr>
      </w:pPr>
      <w:hyperlink w:anchor="X0e467b47d0436d4ba56eee0c123bec01014b5aa">
        <w:r>
          <w:rPr>
            <w:rStyle w:val="Hyperlink"/>
          </w:rPr>
          <w:t xml:space="preserve">5. Make the token available to tools (</w:t>
        </w:r>
        <w:r>
          <w:rPr>
            <w:rStyle w:val="VerbatimChar"/>
          </w:rPr>
          <w:t xml:space="preserve">SEMGREP_APP_TOKEN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67d23e5d63e3780bee1c13f3171a260f47b3e2e">
        <w:r>
          <w:rPr>
            <w:rStyle w:val="Hyperlink"/>
          </w:rPr>
          <w:t xml:space="preserve">6. Verify it works</w:t>
        </w:r>
      </w:hyperlink>
    </w:p>
    <w:p>
      <w:pPr>
        <w:pStyle w:val="Compact"/>
        <w:numPr>
          <w:ilvl w:val="0"/>
          <w:numId w:val="1001"/>
        </w:numPr>
      </w:pPr>
      <w:hyperlink w:anchor="X6b4e44cc0cc98a391d99f4dd5ed5af8fcaadc27">
        <w:r>
          <w:rPr>
            <w:rStyle w:val="Hyperlink"/>
          </w:rPr>
          <w:t xml:space="preserve">7. 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do-you-even-need-a-token"/>
    <w:p>
      <w:pPr>
        <w:pStyle w:val="Heading2"/>
      </w:pPr>
      <w:r>
        <w:t xml:space="preserve">1. Do you even need a token?</w:t>
      </w:r>
    </w:p>
    <w:p>
      <w:pPr>
        <w:pStyle w:val="FirstParagraph"/>
      </w:pPr>
      <w:r>
        <w:rPr>
          <w:b/>
          <w:bCs/>
        </w:rPr>
        <w:t xml:space="preserve">Short answer: the core §11.4.166 mandate does NOT need a token. The token only unlocks the Semgrep cloud / MCP features.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Token required?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 scan --config auto --error</w:t>
            </w:r>
            <w:r>
              <w:t xml:space="preserve"> </w:t>
            </w:r>
            <w:r>
              <w:t xml:space="preserve">— the local blocking scan §11.4.166 mandates (commit/push gate)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 token.</w:t>
            </w:r>
            <w:r>
              <w:t xml:space="preserve"> </w:t>
            </w:r>
            <w:r>
              <w:t xml:space="preserve">Pulls public registry rules and scans locally.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 login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semgrep ci</w:t>
            </w:r>
            <w:r>
              <w:t xml:space="preserve"> </w:t>
            </w:r>
            <w:r>
              <w:t xml:space="preserve">— Semgrep AppSec Platform managed scanning, findings dashboard, policy</w:t>
            </w:r>
          </w:p>
        </w:tc>
        <w:tc>
          <w:tcPr/>
          <w:p>
            <w:pPr>
              <w:pStyle w:val="Compact"/>
            </w:pPr>
            <w:r>
              <w:t xml:space="preserve">✅ Yes —</w:t>
            </w:r>
            <w:r>
              <w:t xml:space="preserve"> </w:t>
            </w:r>
            <w:r>
              <w:rPr>
                <w:rStyle w:val="VerbatimChar"/>
              </w:rPr>
              <w:t xml:space="preserve">SEMGREP_APP_TOKEN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Semgrep MCP server / the post-tool MCP scan hook</w:t>
            </w:r>
            <w:r>
              <w:t xml:space="preserve"> </w:t>
            </w:r>
            <w:r>
              <w:t xml:space="preserve">(the one currently printing</w:t>
            </w:r>
            <w:r>
              <w:t xml:space="preserve"> </w:t>
            </w:r>
            <w:r>
              <w:rPr>
                <w:rStyle w:val="VerbatimChar"/>
              </w:rPr>
              <w:t xml:space="preserve">No SEMGREP_APP_TOKEN found, please login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Yes —</w:t>
            </w:r>
            <w:r>
              <w:t xml:space="preserve"> </w:t>
            </w:r>
            <w:r>
              <w:rPr>
                <w:rStyle w:val="VerbatimChar"/>
              </w:rPr>
              <w:t xml:space="preserve">SEMGREP_APP_TOKEN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So: the project is already §11.4.166-compliant via the tokenless local scan. You only need to follow this guide to silence the MCP hook warning and enable cloud features (centralized findings, policy, supply-chain). It is</w:t>
      </w:r>
      <w:r>
        <w:t xml:space="preserve"> </w:t>
      </w:r>
      <w:r>
        <w:rPr>
          <w:b/>
          <w:bCs/>
        </w:rPr>
        <w:t xml:space="preserve">optional but recommended</w:t>
      </w:r>
      <w:r>
        <w:t xml:space="preserve">.</w:t>
      </w:r>
    </w:p>
    <w:p>
      <w:pPr>
        <w:pStyle w:val="BlockText"/>
      </w:pPr>
      <w:r>
        <w:t xml:space="preserve">Token values are secrets. Per §11.4.10 they MUST NEVER be committed to git, pasted into chat, or logged. Store them only in a gitignored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shell profile (steps below).</w:t>
      </w:r>
    </w:p>
    <w:bookmarkEnd w:id="10"/>
    <w:bookmarkStart w:id="11" w:name="which-token-type-to-choose"/>
    <w:p>
      <w:pPr>
        <w:pStyle w:val="Heading2"/>
      </w:pPr>
      <w:r>
        <w:t xml:space="preserve">2. Which token type to choose</w:t>
      </w:r>
    </w:p>
    <w:p>
      <w:pPr>
        <w:pStyle w:val="FirstParagraph"/>
      </w:pPr>
      <w:r>
        <w:t xml:space="preserve">Semgrep offers three token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Who creates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token</w:t>
            </w:r>
          </w:p>
        </w:tc>
        <w:tc>
          <w:tcPr/>
          <w:p>
            <w:pPr>
              <w:pStyle w:val="Compact"/>
            </w:pPr>
            <w:r>
              <w:t xml:space="preserve">Authenticates a user running scans / publishing rules from the Semgrep CLI (</w:t>
            </w:r>
            <w:r>
              <w:rPr>
                <w:rStyle w:val="VerbatimChar"/>
              </w:rPr>
              <w:t xml:space="preserve">semgrep ci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This is what you want for local use + the MCP hook.</w:t>
            </w:r>
          </w:p>
        </w:tc>
        <w:tc>
          <w:tcPr/>
          <w:p>
            <w:pPr>
              <w:pStyle w:val="Compact"/>
            </w:pPr>
            <w:r>
              <w:t xml:space="preserve">Any member or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token</w:t>
            </w:r>
          </w:p>
        </w:tc>
        <w:tc>
          <w:tcPr/>
          <w:p>
            <w:pPr>
              <w:pStyle w:val="Compact"/>
            </w:pPr>
            <w:r>
              <w:t xml:space="preserve">Calls to the Semgrep REST API and third-party integrations</w:t>
            </w:r>
          </w:p>
        </w:tc>
        <w:tc>
          <w:tcPr/>
          <w:p>
            <w:pPr>
              <w:pStyle w:val="Compact"/>
            </w:pPr>
            <w:r>
              <w:t xml:space="preserve">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token</w:t>
            </w:r>
          </w:p>
        </w:tc>
        <w:tc>
          <w:tcPr/>
          <w:p>
            <w:pPr>
              <w:pStyle w:val="Compact"/>
            </w:pPr>
            <w:r>
              <w:t xml:space="preserve">Auto-generated during repo onboarding for CI/CD agent auth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</w:tbl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For this project, create a CLI token</w:t>
      </w:r>
      <w:r>
        <w:t xml:space="preserve"> </w:t>
      </w:r>
      <w:r>
        <w:t xml:space="preserve">(Method A is the one-command way to get one).</w:t>
      </w:r>
    </w:p>
    <w:bookmarkEnd w:id="11"/>
    <w:bookmarkStart w:id="12" w:name="Xb3bfed2428676a262b34816dd19d1e53dd3827b"/>
    <w:p>
      <w:pPr>
        <w:pStyle w:val="Heading2"/>
      </w:pPr>
      <w:r>
        <w:t xml:space="preserve">3. Method A —</w:t>
      </w:r>
      <w:r>
        <w:t xml:space="preserve"> </w:t>
      </w:r>
      <w:r>
        <w:rPr>
          <w:rStyle w:val="VerbatimChar"/>
        </w:rPr>
        <w:t xml:space="preserve">semgrep login</w:t>
      </w:r>
      <w:r>
        <w:t xml:space="preserve"> </w:t>
      </w:r>
      <w:r>
        <w:t xml:space="preserve">(recommended, easiest)</w:t>
      </w:r>
    </w:p>
    <w:p>
      <w:pPr>
        <w:pStyle w:val="FirstParagraph"/>
      </w:pPr>
      <w:r>
        <w:t xml:space="preserve">This is the fastest path — it creates a CLI token for you and stores it locally.</w:t>
      </w:r>
    </w:p>
    <w:p>
      <w:pPr>
        <w:numPr>
          <w:ilvl w:val="0"/>
          <w:numId w:val="1002"/>
        </w:numPr>
      </w:pPr>
      <w:r>
        <w:t xml:space="preserve">Make sure the CLI is installed (it already is on this host —</w:t>
      </w:r>
      <w:r>
        <w:t xml:space="preserve"> </w:t>
      </w:r>
      <w:r>
        <w:rPr>
          <w:rStyle w:val="VerbatimChar"/>
        </w:rPr>
        <w:t xml:space="preserve">semgrep --version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1.167.0</w:t>
      </w:r>
      <w:r>
        <w:t xml:space="preserve">). If not:</w:t>
      </w:r>
      <w:r>
        <w:t xml:space="preserve"> </w:t>
      </w:r>
      <w:r>
        <w:rPr>
          <w:rStyle w:val="VerbatimChar"/>
        </w:rPr>
        <w:t xml:space="preserve">brew install semgrep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pip install semgrep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semgrep</w:t>
      </w:r>
      <w:r>
        <w:rPr>
          <w:rStyle w:val="NormalTok"/>
        </w:rPr>
        <w:t xml:space="preserve"> login</w:t>
      </w:r>
    </w:p>
    <w:p>
      <w:pPr>
        <w:numPr>
          <w:ilvl w:val="0"/>
          <w:numId w:val="1002"/>
        </w:numPr>
      </w:pPr>
      <w:r>
        <w:t xml:space="preserve">The command</w:t>
      </w:r>
      <w:r>
        <w:t xml:space="preserve"> </w:t>
      </w:r>
      <w:r>
        <w:rPr>
          <w:b/>
          <w:bCs/>
        </w:rPr>
        <w:t xml:space="preserve">opens a browser window</w:t>
      </w:r>
      <w:r>
        <w:t xml:space="preserve"> </w:t>
      </w:r>
      <w:r>
        <w:t xml:space="preserve">(or prints a link you can open manually). If you are not signed in yet, sign in / sign up (GitHub, GitLab, Google, or email).</w:t>
      </w:r>
    </w:p>
    <w:p>
      <w:pPr>
        <w:numPr>
          <w:ilvl w:val="0"/>
          <w:numId w:val="1002"/>
        </w:numPr>
      </w:pPr>
      <w:r>
        <w:t xml:space="preserve">In the browser</w:t>
      </w:r>
      <w:r>
        <w:t xml:space="preserve"> </w:t>
      </w:r>
      <w:r>
        <w:rPr>
          <w:b/>
          <w:bCs/>
        </w:rPr>
        <w:t xml:space="preserve">Semgrep CLI login</w:t>
      </w:r>
      <w:r>
        <w:t xml:space="preserve"> </w:t>
      </w:r>
      <w:r>
        <w:t xml:space="preserve">window, click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to authorize this machine.</w:t>
      </w:r>
    </w:p>
    <w:p>
      <w:pPr>
        <w:numPr>
          <w:ilvl w:val="0"/>
          <w:numId w:val="1002"/>
        </w:numPr>
      </w:pPr>
      <w:r>
        <w:t xml:space="preserve">Return to the terminal —</w:t>
      </w:r>
      <w:r>
        <w:t xml:space="preserve"> </w:t>
      </w:r>
      <w:r>
        <w:rPr>
          <w:rStyle w:val="VerbatimChar"/>
        </w:rPr>
        <w:t xml:space="preserve">semgrep login</w:t>
      </w:r>
      <w:r>
        <w:t xml:space="preserve"> </w:t>
      </w:r>
      <w:r>
        <w:t xml:space="preserve">confirms success and</w:t>
      </w:r>
      <w:r>
        <w:t xml:space="preserve"> </w:t>
      </w:r>
      <w:r>
        <w:rPr>
          <w:b/>
          <w:bCs/>
        </w:rPr>
        <w:t xml:space="preserve">persists the token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~/.semgrep/settings.yml</w:t>
      </w:r>
      <w:r>
        <w:t xml:space="preserve"> </w:t>
      </w:r>
      <w:r>
        <w:t xml:space="preserve">automatically. After this,</w:t>
      </w:r>
      <w:r>
        <w:t xml:space="preserve"> </w:t>
      </w:r>
      <w:r>
        <w:rPr>
          <w:rStyle w:val="VerbatimChar"/>
        </w:rPr>
        <w:t xml:space="preserve">semgrep ci</w:t>
      </w:r>
      <w:r>
        <w:t xml:space="preserve"> </w:t>
      </w:r>
      <w:r>
        <w:t xml:space="preserve">works on this machine with no further env setup.</w:t>
      </w:r>
    </w:p>
    <w:p>
      <w:pPr>
        <w:pStyle w:val="BlockText"/>
      </w:pPr>
      <w:r>
        <w:t xml:space="preserve">If you only ever run</w:t>
      </w:r>
      <w:r>
        <w:t xml:space="preserve"> </w:t>
      </w:r>
      <w:r>
        <w:rPr>
          <w:rStyle w:val="VerbatimChar"/>
        </w:rPr>
        <w:t xml:space="preserve">semgrep</w:t>
      </w:r>
      <w:r>
        <w:t xml:space="preserve"> </w:t>
      </w:r>
      <w:r>
        <w:t xml:space="preserve">on this one machine,</w:t>
      </w:r>
      <w:r>
        <w:t xml:space="preserve"> </w:t>
      </w:r>
      <w:r>
        <w:rPr>
          <w:b/>
          <w:bCs/>
        </w:rPr>
        <w:t xml:space="preserve">Method A is all you need</w:t>
      </w:r>
      <w:r>
        <w:t xml:space="preserve"> </w:t>
      </w:r>
      <w:r>
        <w:t xml:space="preserve">— the token is saved and reused. Continue to</w:t>
      </w:r>
      <w:r>
        <w:t xml:space="preserve"> </w:t>
      </w:r>
      <w:hyperlink w:anchor="X67d23e5d63e3780bee1c13f3171a260f47b3e2e">
        <w:r>
          <w:rPr>
            <w:rStyle w:val="Hyperlink"/>
          </w:rPr>
          <w:t xml:space="preserve">§6 Verify</w:t>
        </w:r>
      </w:hyperlink>
      <w:r>
        <w:t xml:space="preserve">. Do §5 only if a tool specifically reads the</w:t>
      </w:r>
      <w:r>
        <w:t xml:space="preserve"> </w:t>
      </w:r>
      <w:r>
        <w:rPr>
          <w:rStyle w:val="VerbatimChar"/>
        </w:rPr>
        <w:t xml:space="preserve">SEMGREP_APP_TOKEN</w:t>
      </w:r>
      <w:r>
        <w:t xml:space="preserve"> </w:t>
      </w:r>
      <w:r>
        <w:t xml:space="preserve">env var (the MCP hook does).</w:t>
      </w:r>
    </w:p>
    <w:bookmarkEnd w:id="12"/>
    <w:bookmarkStart w:id="15" w:name="method-b-web-ui-settings-tokens"/>
    <w:p>
      <w:pPr>
        <w:pStyle w:val="Heading2"/>
      </w:pPr>
      <w:r>
        <w:t xml:space="preserve">4. Method B — Web UI (Settings → Tokens)</w:t>
      </w:r>
    </w:p>
    <w:p>
      <w:pPr>
        <w:pStyle w:val="FirstParagraph"/>
      </w:pPr>
      <w:r>
        <w:t xml:space="preserve">Use this if you want to create the token manually (e.g. to paste into an env var / CI secret).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https://semgrep.dev/login</w:t>
        </w:r>
      </w:hyperlink>
      <w:r>
        <w:t xml:space="preserve"> </w:t>
      </w:r>
      <w:r>
        <w:t xml:space="preserve">and sign in (or sign up — free Community tier is fine).</w:t>
      </w:r>
    </w:p>
    <w:p>
      <w:pPr>
        <w:pStyle w:val="Compact"/>
        <w:numPr>
          <w:ilvl w:val="0"/>
          <w:numId w:val="1003"/>
        </w:numPr>
      </w:pPr>
      <w:r>
        <w:t xml:space="preserve">Go to the tokens page directly: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https://semgrep.dev/orgs/-/settings/tokens</w:t>
        </w:r>
      </w:hyperlink>
      <w:r>
        <w:t xml:space="preserve"> </w:t>
      </w:r>
      <w:r>
        <w:t xml:space="preserve">(equivalently, in the UI:</w:t>
      </w:r>
      <w:r>
        <w:t xml:space="preserve"> </w:t>
      </w:r>
      <w:r>
        <w:rPr>
          <w:b/>
          <w:bCs/>
        </w:rPr>
        <w:t xml:space="preserve">Settings → Tokens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new token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helix-ota-local</w:t>
      </w:r>
      <w:r>
        <w:t xml:space="preserve">) and select the</w:t>
      </w:r>
      <w:r>
        <w:t xml:space="preserve"> </w:t>
      </w:r>
      <w:r>
        <w:rPr>
          <w:b/>
          <w:bCs/>
        </w:rPr>
        <w:t xml:space="preserve">Token scopes</w:t>
      </w:r>
      <w:r>
        <w:t xml:space="preserve"> </w:t>
      </w:r>
      <w:r>
        <w:t xml:space="preserve">(for CLI/agent use, the</w:t>
      </w:r>
      <w:r>
        <w:t xml:space="preserve"> </w:t>
      </w:r>
      <w:r>
        <w:rPr>
          <w:b/>
          <w:bCs/>
        </w:rPr>
        <w:t xml:space="preserve">Agent (CI)</w:t>
      </w:r>
      <w:r>
        <w:t xml:space="preserve"> </w:t>
      </w:r>
      <w:r>
        <w:t xml:space="preserve">scope).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Immediately copy the token value</w:t>
      </w:r>
      <w:r>
        <w:t xml:space="preserve"> </w:t>
      </w:r>
      <w:r>
        <w:t xml:space="preserve">(</w:t>
      </w:r>
      <w:r>
        <w:t xml:space="preserve">“Secrets value”</w:t>
      </w:r>
      <w:r>
        <w:t xml:space="preserve">) — it is shown only once. Treat it as a secret (§11.4.10).</w:t>
      </w:r>
    </w:p>
    <w:bookmarkEnd w:id="15"/>
    <w:bookmarkStart w:id="16" w:name="Xb047f2997af80bda2b85065fd2894d1d9adbe13"/>
    <w:p>
      <w:pPr>
        <w:pStyle w:val="Heading2"/>
      </w:pPr>
      <w:r>
        <w:t xml:space="preserve">5. Make the token available to tools (</w:t>
      </w:r>
      <w:r>
        <w:rPr>
          <w:rStyle w:val="VerbatimChar"/>
        </w:rPr>
        <w:t xml:space="preserve">SEMGREP_APP_TOKEN</w:t>
      </w:r>
      <w:r>
        <w:t xml:space="preserve">)</w:t>
      </w:r>
    </w:p>
    <w:p>
      <w:pPr>
        <w:pStyle w:val="FirstParagraph"/>
      </w:pPr>
      <w:r>
        <w:t xml:space="preserve">The Semgrep MCP server and</w:t>
      </w:r>
      <w:r>
        <w:t xml:space="preserve"> </w:t>
      </w:r>
      <w:r>
        <w:rPr>
          <w:rStyle w:val="VerbatimChar"/>
        </w:rPr>
        <w:t xml:space="preserve">semgrep ci</w:t>
      </w:r>
      <w:r>
        <w:t xml:space="preserve"> </w:t>
      </w:r>
      <w:r>
        <w:t xml:space="preserve">read the token from the</w:t>
      </w:r>
      <w:r>
        <w:t xml:space="preserve"> </w:t>
      </w:r>
      <w:r>
        <w:rPr>
          <w:rStyle w:val="VerbatimChar"/>
        </w:rPr>
        <w:t xml:space="preserve">SEMGREP_APP_TOKEN</w:t>
      </w:r>
      <w:r>
        <w:t xml:space="preserve"> </w:t>
      </w:r>
      <w:r>
        <w:t xml:space="preserve">environment variable. Set it</w:t>
      </w:r>
      <w:r>
        <w:t xml:space="preserve"> </w:t>
      </w:r>
      <w:r>
        <w:rPr>
          <w:b/>
          <w:bCs/>
        </w:rPr>
        <w:t xml:space="preserve">without committing it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Option 1 — shell profile (persists across sessions, host-local):</w:t>
      </w:r>
    </w:p>
    <w:p>
      <w:pPr>
        <w:pStyle w:val="SourceCode"/>
      </w:pPr>
      <w:r>
        <w:rPr>
          <w:rStyle w:val="CommentTok"/>
        </w:rPr>
        <w:t xml:space="preserve"># ~/.zshrc (macOS default) or ~/.bashrc — NOT in the repo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SEMGREP_APP_TOKEN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"&lt;paste-your-token-here&gt;"</w:t>
      </w:r>
    </w:p>
    <w:p>
      <w:pPr>
        <w:pStyle w:val="FirstParagraph"/>
      </w:pPr>
      <w:r>
        <w:t xml:space="preserve">Then reload:</w:t>
      </w:r>
      <w:r>
        <w:t xml:space="preserve"> </w:t>
      </w:r>
      <w:r>
        <w:rPr>
          <w:rStyle w:val="VerbatimChar"/>
        </w:rPr>
        <w:t xml:space="preserve">source ~/.zshrc</w:t>
      </w:r>
      <w:r>
        <w:t xml:space="preserve"> </w:t>
      </w:r>
      <w:r>
        <w:t xml:space="preserve">(or open a new terminal).</w:t>
      </w:r>
    </w:p>
    <w:p>
      <w:pPr>
        <w:pStyle w:val="BodyText"/>
      </w:pPr>
      <w:r>
        <w:rPr>
          <w:b/>
          <w:bCs/>
        </w:rPr>
        <w:t xml:space="preserve">Option 2 — project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(gitignored per §11.4.30/§11.4.10):</w:t>
      </w:r>
    </w:p>
    <w:p>
      <w:pPr>
        <w:pStyle w:val="SourceCode"/>
      </w:pPr>
      <w:r>
        <w:rPr>
          <w:rStyle w:val="CommentTok"/>
        </w:rPr>
        <w:t xml:space="preserve"># .env  (already gitignored — confirm with: git check-ignore .env)</w:t>
      </w:r>
      <w:r>
        <w:br/>
      </w:r>
      <w:r>
        <w:rPr>
          <w:rStyle w:val="VariableTok"/>
        </w:rPr>
        <w:t xml:space="preserve">SEMGREP_APP_TOKEN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paste-your-token-here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Lock it down:</w:t>
      </w:r>
      <w:r>
        <w:t xml:space="preserve"> </w:t>
      </w:r>
      <w:r>
        <w:rPr>
          <w:rStyle w:val="VerbatimChar"/>
        </w:rPr>
        <w:t xml:space="preserve">chmod 600 .env</w:t>
      </w:r>
      <w:r>
        <w:t xml:space="preserve">.</w:t>
      </w:r>
    </w:p>
    <w:p>
      <w:pPr>
        <w:pStyle w:val="BlockText"/>
      </w:pPr>
      <w:r>
        <w:t xml:space="preserve">⚠️ Never put the token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any tracked file, a commit message, or a chat message. If it ever leaks,</w:t>
      </w:r>
      <w:r>
        <w:t xml:space="preserve"> </w:t>
      </w:r>
      <w:r>
        <w:rPr>
          <w:b/>
          <w:bCs/>
        </w:rPr>
        <w:t xml:space="preserve">rotate it</w:t>
      </w:r>
      <w:r>
        <w:t xml:space="preserve"> </w:t>
      </w:r>
      <w:r>
        <w:t xml:space="preserve">at</w:t>
      </w:r>
      <w:r>
        <w:t xml:space="preserve"> </w:t>
      </w:r>
      <w:hyperlink r:id="rId14">
        <w:r>
          <w:rPr>
            <w:rStyle w:val="Hyperlink"/>
          </w:rPr>
          <w:t xml:space="preserve">https://semgrep.dev/orgs/-/settings/tokens</w:t>
        </w:r>
      </w:hyperlink>
      <w:r>
        <w:t xml:space="preserve"> </w:t>
      </w:r>
      <w:r>
        <w:t xml:space="preserve">(delete + create new) per §11.4.10.</w:t>
      </w:r>
    </w:p>
    <w:bookmarkEnd w:id="16"/>
    <w:bookmarkStart w:id="17" w:name="verify-it-works"/>
    <w:p>
      <w:pPr>
        <w:pStyle w:val="Heading2"/>
      </w:pPr>
      <w:r>
        <w:t xml:space="preserve">6. Verify it works</w:t>
      </w:r>
    </w:p>
    <w:p>
      <w:pPr>
        <w:pStyle w:val="SourceCode"/>
      </w:pPr>
      <w:r>
        <w:rPr>
          <w:rStyle w:val="CommentTok"/>
        </w:rPr>
        <w:t xml:space="preserve"># 1. Confirm the env var is set (prints only that it is non-empty — does NOT echo the secret)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$SEMGREP_APP_TOKEN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"SEMGREP_APP_TOKEN is set ✅"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set ❌"</w:t>
      </w:r>
      <w:r>
        <w:br/>
      </w:r>
      <w:r>
        <w:br/>
      </w:r>
      <w:r>
        <w:rPr>
          <w:rStyle w:val="CommentTok"/>
        </w:rPr>
        <w:t xml:space="preserve"># 2. Confirm the CLI is authenticated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should NOT say "No SEMGREP_APP_TOKEN found"</w:t>
      </w:r>
      <w:r>
        <w:br/>
      </w:r>
      <w:r>
        <w:br/>
      </w:r>
      <w:r>
        <w:rPr>
          <w:rStyle w:val="CommentTok"/>
        </w:rPr>
        <w:t xml:space="preserve"># 3. The tokenless local gate still works regardless (this is the §11.4.166 blocking scan)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--error</w:t>
      </w:r>
      <w:r>
        <w:rPr>
          <w:rStyle w:val="NormalTok"/>
        </w:rPr>
        <w:t xml:space="preserve"> server/ submodules/ scripts/</w:t>
      </w:r>
    </w:p>
    <w:p>
      <w:pPr>
        <w:pStyle w:val="FirstParagraph"/>
      </w:pPr>
      <w:r>
        <w:t xml:space="preserve">When the MCP hook stops printing</w:t>
      </w:r>
      <w:r>
        <w:t xml:space="preserve"> </w:t>
      </w:r>
      <w:r>
        <w:rPr>
          <w:rStyle w:val="VerbatimChar"/>
        </w:rPr>
        <w:t xml:space="preserve">No SEMGREP_APP_TOKEN found, please login to Semgrep</w:t>
      </w:r>
      <w:r>
        <w:t xml:space="preserve">, you are done.</w:t>
      </w:r>
    </w:p>
    <w:bookmarkEnd w:id="17"/>
    <w:bookmarkStart w:id="21" w:name="sources-verified"/>
    <w:p>
      <w:pPr>
        <w:pStyle w:val="Heading2"/>
      </w:pPr>
      <w:r>
        <w:t xml:space="preserve">7. Sources verified</w:t>
      </w:r>
    </w:p>
    <w:p>
      <w:pPr>
        <w:pStyle w:val="FirstParagraph"/>
      </w:pPr>
      <w:r>
        <w:t xml:space="preserve">Verified against the official Semgrep documentation on</w:t>
      </w:r>
      <w:r>
        <w:t xml:space="preserve"> </w:t>
      </w:r>
      <w:r>
        <w:rPr>
          <w:b/>
          <w:bCs/>
        </w:rPr>
        <w:t xml:space="preserve">2026-06-22</w:t>
      </w:r>
      <w:r>
        <w:t xml:space="preserve"> </w:t>
      </w:r>
      <w:r>
        <w:t xml:space="preserve">(§11.4.99):</w:t>
      </w:r>
    </w:p>
    <w:p>
      <w:pPr>
        <w:pStyle w:val="Compact"/>
        <w:numPr>
          <w:ilvl w:val="0"/>
          <w:numId w:val="1004"/>
        </w:numPr>
      </w:pPr>
      <w:r>
        <w:t xml:space="preserve">Access tokens (types, Settings → Tokens, create new token):</w:t>
      </w:r>
      <w:r>
        <w:t xml:space="preserve"> </w:t>
      </w:r>
      <w:hyperlink r:id="rId18">
        <w:r>
          <w:rPr>
            <w:rStyle w:val="Hyperlink"/>
          </w:rPr>
          <w:t xml:space="preserve">https://docs.semgrep.dev/deployment/tokens</w:t>
        </w:r>
      </w:hyperlink>
    </w:p>
    <w:p>
      <w:pPr>
        <w:pStyle w:val="Compact"/>
        <w:numPr>
          <w:ilvl w:val="0"/>
          <w:numId w:val="1004"/>
        </w:numPr>
      </w:pPr>
      <w:r>
        <w:t xml:space="preserve">Tokens settings page (UI path):</w:t>
      </w:r>
      <w:r>
        <w:t xml:space="preserve"> </w:t>
      </w:r>
      <w:hyperlink r:id="rId14">
        <w:r>
          <w:rPr>
            <w:rStyle w:val="Hyperlink"/>
          </w:rPr>
          <w:t xml:space="preserve">https://semgrep.dev/orgs/-/settings/tokens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semgrep login</w:t>
      </w:r>
      <w:r>
        <w:t xml:space="preserve"> </w:t>
      </w:r>
      <w:r>
        <w:t xml:space="preserve">CLI flow +</w:t>
      </w:r>
      <w:r>
        <w:t xml:space="preserve"> </w:t>
      </w:r>
      <w:r>
        <w:rPr>
          <w:rStyle w:val="VerbatimChar"/>
        </w:rPr>
        <w:t xml:space="preserve">semgrep ci</w:t>
      </w:r>
      <w:r>
        <w:t xml:space="preserve"> </w:t>
      </w:r>
      <w:r>
        <w:t xml:space="preserve">token usage:</w:t>
      </w:r>
      <w:r>
        <w:t xml:space="preserve"> </w:t>
      </w:r>
      <w:hyperlink r:id="rId19">
        <w:r>
          <w:rPr>
            <w:rStyle w:val="Hyperlink"/>
          </w:rPr>
          <w:t xml:space="preserve">https://semgrep.dev/docs/semgrep-ci/running-semgrep-ci-with-semgrep-cloud-platform/</w:t>
        </w:r>
      </w:hyperlink>
    </w:p>
    <w:p>
      <w:pPr>
        <w:pStyle w:val="Compact"/>
        <w:numPr>
          <w:ilvl w:val="0"/>
          <w:numId w:val="1004"/>
        </w:numPr>
      </w:pPr>
      <w:r>
        <w:t xml:space="preserve">CI environment variables (</w:t>
      </w:r>
      <w:r>
        <w:rPr>
          <w:rStyle w:val="VerbatimChar"/>
        </w:rPr>
        <w:t xml:space="preserve">SEMGREP_APP_TOKEN</w:t>
      </w:r>
      <w:r>
        <w:t xml:space="preserve">):</w:t>
      </w:r>
      <w:r>
        <w:t xml:space="preserve"> </w:t>
      </w:r>
      <w:hyperlink r:id="rId20">
        <w:r>
          <w:rPr>
            <w:rStyle w:val="Hyperlink"/>
          </w:rPr>
          <w:t xml:space="preserve">https://semgrep.dev/docs/semgrep-ci/ci-environment-variables</w:t>
        </w:r>
      </w:hyperlink>
    </w:p>
    <w:p>
      <w:pPr>
        <w:pStyle w:val="Compact"/>
        <w:numPr>
          <w:ilvl w:val="0"/>
          <w:numId w:val="1004"/>
        </w:numPr>
      </w:pPr>
      <w:r>
        <w:t xml:space="preserve">Login page:</w:t>
      </w:r>
      <w:r>
        <w:t xml:space="preserve"> </w:t>
      </w:r>
      <w:hyperlink r:id="rId13">
        <w:r>
          <w:rPr>
            <w:rStyle w:val="Hyperlink"/>
          </w:rPr>
          <w:t xml:space="preserve">https://semgrep.dev/login</w:t>
        </w:r>
      </w:hyperlink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docs.semgrep.dev/deployment/tokens" TargetMode="External" /><Relationship Type="http://schemas.openxmlformats.org/officeDocument/2006/relationships/hyperlink" Id="rId20" Target="https://semgrep.dev/docs/semgrep-ci/ci-environment-variables" TargetMode="External" /><Relationship Type="http://schemas.openxmlformats.org/officeDocument/2006/relationships/hyperlink" Id="rId19" Target="https://semgrep.dev/docs/semgrep-ci/running-semgrep-ci-with-semgrep-cloud-platform/" TargetMode="External" /><Relationship Type="http://schemas.openxmlformats.org/officeDocument/2006/relationships/hyperlink" Id="rId13" Target="https://semgrep.dev/login" TargetMode="External" /><Relationship Type="http://schemas.openxmlformats.org/officeDocument/2006/relationships/hyperlink" Id="rId14" Target="https://semgrep.dev/orgs/-/settings/toke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cs.semgrep.dev/deployment/tokens" TargetMode="External" /><Relationship Type="http://schemas.openxmlformats.org/officeDocument/2006/relationships/hyperlink" Id="rId20" Target="https://semgrep.dev/docs/semgrep-ci/ci-environment-variables" TargetMode="External" /><Relationship Type="http://schemas.openxmlformats.org/officeDocument/2006/relationships/hyperlink" Id="rId19" Target="https://semgrep.dev/docs/semgrep-ci/running-semgrep-ci-with-semgrep-cloud-platform/" TargetMode="External" /><Relationship Type="http://schemas.openxmlformats.org/officeDocument/2006/relationships/hyperlink" Id="rId13" Target="https://semgrep.dev/login" TargetMode="External" /><Relationship Type="http://schemas.openxmlformats.org/officeDocument/2006/relationships/hyperlink" Id="rId14" Target="https://semgrep.dev/orgs/-/settings/toke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2026-06-22T07:47:20Z</dcterms:created>
  <dcterms:modified xsi:type="dcterms:W3CDTF">2026-06-22T07:47:20Z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