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helix-constitution-universal-qwen.md"/>
    <w:p>
      <w:pPr>
        <w:pStyle w:val="Heading1"/>
      </w:pPr>
      <w:r>
        <w:t xml:space="preserve">Helix Constitution — Universal QWEN.md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31</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2026-06-22T00:00:00Z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constitutional pull. Added §11.4.165 mirror — Universal Independent Verification Agent: every output passes INDEPENDENT verifier (§11.4.70/.20), zero-finding GO.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w:t>
            </w:r>
            <w:r>
              <w:t xml:space="preserve"> </w:t>
            </w:r>
            <w:r>
              <w:rPr>
                <w:rStyle w:val="VerbatimChar"/>
              </w:rPr>
              <w:t xml:space="preserve">{TODO|In-progress|Completed}</w:t>
            </w:r>
            <w:r>
              <w:t xml:space="preserve"> </w:t>
            </w:r>
            <w:r>
              <w:t xml:space="preserve">lifecycle + minimal-LLM deterministic tooling 100% test-covered §11.4.27. Both Classification: universal (§11.4.17); project-specific dual per-display brightness/auto-dim/font-size landed ONLY in the consumer layer (RK3588/Presenter), NOT here. Propagation gates</w:t>
            </w:r>
            <w:r>
              <w:t xml:space="preserve"> </w:t>
            </w:r>
            <w:r>
              <w:rPr>
                <w:rStyle w:val="VerbatimChar"/>
              </w:rPr>
              <w:t xml:space="preserve">CM-COVENANT-114-148-PROPAGATION</w:t>
            </w:r>
            <w:r>
              <w:t xml:space="preserve"> </w:t>
            </w:r>
            <w:r>
              <w:t xml:space="preserve">+</w:t>
            </w:r>
            <w:r>
              <w:t xml:space="preserve"> </w:t>
            </w:r>
            <w:r>
              <w:rPr>
                <w:rStyle w:val="VerbatimChar"/>
              </w:rPr>
              <w:t xml:space="preserve">CM-COVENANT-114-149-PROPAGATION</w:t>
            </w:r>
            <w:r>
              <w:t xml:space="preserve"> </w:t>
            </w:r>
            <w:r>
              <w:t xml:space="preserve">+ paired §1.1 mutations. Prior round: Added §11.4.147 mirror — Crashed-agent respawn-until-complete + no-work-loss registry mandate (User mandate 2026-06-10): every dispatched agent/subagent MUST be tracked through its full lifecycle so a crash NEVER loses/forgets/corrupts its work (crash ≠ done, §11.4.6) — (a) durable append-only agent REGISTRY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w:t>
            </w:r>
            <w:r>
              <w:t xml:space="preserve">autonomously per §11.4.101 with ALREADY-DEFINED backoff; (c) PARTIAL-STATE preserve → §11.4.84-check → resume-or-clean-restart (§9.2 backup) in a per-agent worktree; (d) the §11.4.87/.94/.97/.126 loop done-condition MUST NOT read satisfied while any entry is non-</w:t>
            </w:r>
            <w:r>
              <w:rPr>
                <w:rStyle w:val="VerbatimChar"/>
              </w:rPr>
              <w:t xml:space="preserve">complete</w:t>
            </w:r>
            <w:r>
              <w:t xml:space="preserve">. Forensic FACT this session: 5 subagents killed by rate-limit + 2 by socket-close + one PARTIAL dual-sliders edit, re-dispatched by pure conductor vigilance with NO mechanical guarantee; agent-side analogue of §11.4.144. Composes §11.4.6/.58/.84/.87/.94/.97/.101/.116/.102/.108/.125/.142/.40/.128/.144/§9.2/§1.1. Classification: universal (§11.4.17). Prior round: 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no exception (source/fixes/tests/gates/mutations/docs/doc-tooling/build-CI/config/governance/conductor-edits/sub-agent-output/refactors/one-liners) — MUST pass an INDEPENDENT code-review step BEFORE acceptance/commit/build; the ABSOLUTE form of §11.4.125 (no</w:t>
            </w:r>
            <w:r>
              <w:t xml:space="preserve"> </w:t>
            </w:r>
            <w:r>
              <w:t xml:space="preserve">“just a doc edit”</w:t>
            </w:r>
            <w:r>
              <w:t xml:space="preserve">/</w:t>
            </w:r>
            <w:r>
              <w:t xml:space="preserve">“just a one-liner”</w:t>
            </w:r>
            <w:r>
              <w:t xml:space="preserve">/</w:t>
            </w:r>
            <w:r>
              <w:t xml:space="preserve">“self-review §11.4.92 suffices”</w:t>
            </w:r>
            <w:r>
              <w:t xml:space="preserve">/</w:t>
            </w:r>
            <w:r>
              <w:t xml:space="preserve">“trivial change”</w:t>
            </w:r>
            <w:r>
              <w:t xml:space="preserve"> </w:t>
            </w:r>
            <w:r>
              <w:t xml:space="preserve">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highest-risk set FIRST (closed factors: (a) most-recently-worked, (b) historically most-problematic, (c) highest crash/break/regress likelihood, (d) most-reopened per §11.4.55), each GREEN with real (physical) captured evidence (§11.4.5/.69/.107, no bluff §11.4.6), and ONLY AFTER that set is GREEN does the rest of the suite run; arbitrary-order or lower-risk-before-highest-risk-GREEN = §11.4.132 violation; REFINES/STRENGTHENS §11.4.130 + §11.4.46 + §11.4.42 by adding explicit risk-ordering to VALIDATION.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promotes §11.4.127 (PREPARE-on-demand) into a STANDING version-controlled ARTIFACT, ALWAYS present + in sync, SHORT+FULL variants + live-state anchors + §11.4.65 export + §11.4.44 revision header. Composes §12.10/.127/.65/.44/.6/.66/.126. Classification: universal (§11.4.17). Prior round: Added §11.4.127 mirror — Session-handoff resumption-prompt mandate (User mandate 2026-06-06): when a fresh session is needed (context limits/degradation) OR the operator asks whether a new session is needed, the agent MUST ALWAYS prepare + proactively provide a ready-to-paste resumption prompt valid for that EXACT moment + project phase (SHORT first-sentence + FULL block on demand) pointing to the live handoff docs (.remember/remember.md if present + docs/CONTINUATION.md §12.10, read FIRST + git fetch –all), stating PHASE + NEXT action + terminal goal, embedding exact live-state anchors (build IDs/MD5, device serials, HEAD, in-flight PIDs+logs, evidence paths) + binding constraints (anti-bluff §11.4, no-force-push §11.4.113, exact version/naming, hardware gotchas); MUST be moment-valid never generic; handoff docs current BEFORE the prompt; missing/stale/generic =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w:t>
            </w:r>
            <w:r>
              <w:t xml:space="preserve"> </w:t>
            </w:r>
            <w:r>
              <w:t xml:space="preserve">“no references”</w:t>
            </w:r>
            <w:r>
              <w:t xml:space="preserve"> </w:t>
            </w:r>
            <w:r>
              <w:t xml:space="preserve">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(§11.4.114) and add any missing/unwired tests (§11.4.27/.43/.115); ALWAYS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w:t>
            </w:r>
            <w:r>
              <w:t xml:space="preserve"> </w:t>
            </w:r>
            <w:r>
              <w:t xml:space="preserve">“untestable”</w:t>
            </w:r>
            <w:r>
              <w:t xml:space="preserve"> </w:t>
            </w:r>
            <w:r>
              <w:t xml:space="preserve">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§11.4.115 RED-baseline-on-the-broken-artifact + polarity-switch (refines §11.4.43); §11.4.116 real-time conductor↔autonomous-test-framework sync channel (append-only event stream + atomically-rewritten status snapshot, verdict events carry evidence paths); §11.4.117 CV/OCR pixel-oracle fallback for non-introspectable UIs (refines §11.4.48/.52/.107); §11.4.118 discovery-pressure to confirm known-issue-set completeness; §11.4.119 single-resource-owner partitioning for parallel hardware testing (refines §11.4.58/.103); §11.4.120 fix-breaks-its-own-gate reconciliation (rewrite the gate, never fake-pass / never revert the fix); §11.4.121 no-commit-while-build-writes-tracked-artifacts (build-output analogue of §11.4.84). All Classification: universal (§11.4.17).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w:t>
        </w:r>
        <w:r>
          <w:rPr>
            <w:rStyle w:val="Hyperlink"/>
          </w:rPr>
          <w:t xml:space="preserve"> </w:t>
        </w:r>
        <w:r>
          <w:rPr>
            <w:rStyle w:val="Hyperlink"/>
          </w:rPr>
          <w:t xml:space="preserve">@imports</w:t>
        </w:r>
        <w:r>
          <w:rPr>
            <w:rStyle w:val="Hyperlink"/>
          </w:rPr>
          <w:t xml:space="preserve">)</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w:t>
      </w:r>
      <w:r>
        <w:t xml:space="preserve"> </w:t>
      </w:r>
      <w:r>
        <w:t xml:space="preserve">“Qwen-lite”</w:t>
      </w:r>
      <w:r>
        <w:t xml:space="preserve"> </w:t>
      </w:r>
      <w:r>
        <w:t xml:space="preserve">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w:t>
      </w:r>
      <w:r>
        <w:t xml:space="preserve"> </w:t>
      </w:r>
      <w:r>
        <w:t xml:space="preserve">@imports</w:t>
      </w:r>
      <w:r>
        <w:t xml:space="preserve">)</w:t>
      </w:r>
    </w:p>
    <w:bookmarkStart w:id="13" w:name="Xa6b2eb94242a8dedfceeefa07a20f61d07ee811"/>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w:t>
      </w:r>
      <w:r>
        <w:t xml:space="preserve"> </w:t>
      </w:r>
      <w:r>
        <w:t xml:space="preserve">“absence-of-error”</w:t>
      </w:r>
      <w:r>
        <w:t xml:space="preserve"> </w:t>
      </w:r>
      <w:r>
        <w:t xml:space="preserve">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mutation-paired-gates"/>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credentials-handling-mandate"/>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universal-vs-project-classification"/>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subagent-driven-by-default"/>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a81927e1c7deba4518d3c7c6a49ec1210333e29"/>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w:t>
      </w:r>
      <w:r>
        <w:t xml:space="preserve"> </w:t>
      </w:r>
      <w:r>
        <w:t xml:space="preserve">“spec ripple”</w:t>
      </w:r>
      <w:r>
        <w:t xml:space="preserve"> </w:t>
      </w:r>
      <w:r>
        <w:t xml:space="preserve">rule).</w:t>
      </w:r>
    </w:p>
    <w:bookmarkEnd w:id="18"/>
    <w:bookmarkStart w:id="20" w:name="X43cb337a893598d95d5746daf1437a9a2c02f01"/>
    <w:p>
      <w:pPr>
        <w:pStyle w:val="Heading3"/>
      </w:pPr>
      <w:r>
        <w:t xml:space="preserve">§11.4.74 — Submodule-catalogue-first discovery + extend-don’t-reimplement</w:t>
      </w:r>
    </w:p>
    <w:p>
      <w:pPr>
        <w:pStyle w:val="FirstParagraph"/>
      </w:pPr>
      <w:r>
        <w:t xml:space="preserve">Direct user mandate (verbatim, 2026-05-20):</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containers-submodule-mandate"/>
    <w:p>
      <w:pPr>
        <w:pStyle w:val="Heading3"/>
      </w:pPr>
      <w:r>
        <w:t xml:space="preserve">§11.4.76 — Containers-submodule mandate</w:t>
      </w:r>
    </w:p>
    <w:p>
      <w:pPr>
        <w:pStyle w:val="FirstParagraph"/>
      </w:pPr>
      <w:r>
        <w:t xml:space="preserve">Direct user mandate (verbatim, 2026-05-20):</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regeneration-mechanism-required-mandate"/>
    <w:p>
      <w:pPr>
        <w:pStyle w:val="Heading3"/>
      </w:pPr>
      <w:r>
        <w:t xml:space="preserve">§11.4.77 — Regeneration-mechanism-required mandate</w:t>
      </w:r>
    </w:p>
    <w:p>
      <w:pPr>
        <w:pStyle w:val="FirstParagraph"/>
      </w:pPr>
      <w:r>
        <w:t xml:space="preserve">Direct user mandate (verbatim, 2026-05-20):</w:t>
      </w:r>
      <w:r>
        <w:t xml:space="preserve"> </w:t>
      </w: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codegraph-code-intelligence-mandate"/>
    <w:p>
      <w:pPr>
        <w:pStyle w:val="Heading3"/>
      </w:pPr>
      <w:r>
        <w:t xml:space="preserve">§11.4.78 — CodeGraph code-intelligence mandate</w:t>
      </w:r>
    </w:p>
    <w:p>
      <w:pPr>
        <w:pStyle w:val="FirstParagraph"/>
      </w:pPr>
      <w:r>
        <w:t xml:space="preserve">Direct user mandate (verbatim, 2026-05-20):</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c5588010ea8f074747d7c542b66a8a0ee1540c5"/>
    <w:p>
      <w:pPr>
        <w:pStyle w:val="Heading3"/>
      </w:pPr>
      <w:r>
        <w:t xml:space="preserve">§11.4.79 — Own-org submodules MUST be included in the CodeGraph index</w:t>
      </w:r>
    </w:p>
    <w:p>
      <w:pPr>
        <w:pStyle w:val="FirstParagraph"/>
      </w:pPr>
      <w:r>
        <w:t xml:space="preserve">Direct user mandate (verbatim, 2026-05-21):</w:t>
      </w:r>
      <w:r>
        <w:t xml:space="preserve"> </w:t>
      </w:r>
      <w:r>
        <w:t xml:space="preserve">“All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bb807a956e31b63c6082b4332087b163b347d3c"/>
    <w:p>
      <w:pPr>
        <w:pStyle w:val="Heading3"/>
      </w:pPr>
      <w:r>
        <w:t xml:space="preserve">§11.4.80 — CodeGraph regular-update + sync automation mandate</w:t>
      </w:r>
    </w:p>
    <w:p>
      <w:pPr>
        <w:pStyle w:val="FirstParagraph"/>
      </w:pPr>
      <w:r>
        <w:t xml:space="preserve">Direct user mandate (verbatim, 2026-05-21):</w:t>
      </w:r>
      <w:r>
        <w:t xml:space="preserve"> </w:t>
      </w:r>
      <w:r>
        <w:t xml:space="preserve">“We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39c97fcba51dbf86c5b093cd3182acc0df67fc3"/>
    <w:p>
      <w:pPr>
        <w:pStyle w:val="Heading3"/>
      </w:pPr>
      <w:r>
        <w:t xml:space="preserve">§11.4.81 — Cross-platform-parity mandate (User mandate, 2026-05-21)</w:t>
      </w:r>
    </w:p>
    <w:p>
      <w:pPr>
        <w:pStyle w:val="FirstParagraph"/>
      </w:pPr>
      <w:r>
        <w:t xml:space="preserve">Direct user mandate (verbatim, 2026-05-21):</w:t>
      </w:r>
      <w:r>
        <w:t xml:space="preserve"> </w:t>
      </w:r>
      <w:r>
        <w:t xml:space="preserve">“Any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2db9ae1e25b1857e409874b78a8e886a8cd157d"/>
    <w:p>
      <w:pPr>
        <w:pStyle w:val="Heading3"/>
      </w:pPr>
      <w:r>
        <w:t xml:space="preserve">§11.4.82 — Iteration-speedup discipline mandate (User mandate, 2026-05-22)</w:t>
      </w:r>
    </w:p>
    <w:p>
      <w:pPr>
        <w:pStyle w:val="FirstParagraph"/>
      </w:pPr>
      <w:r>
        <w:t xml:space="preserve">Direct user mandate (verbatim, 2026-05-22):</w:t>
      </w:r>
      <w:r>
        <w:t xml:space="preserve"> </w:t>
      </w:r>
      <w:r>
        <w:t xml:space="preserve">“How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c0e547589a000b4ff39571fc9bf04c5a5725fe1"/>
    <w:p>
      <w:pPr>
        <w:pStyle w:val="Heading3"/>
      </w:pPr>
      <w:r>
        <w:t xml:space="preserve">§11.4.83 — docs/qa/ end-user evidence mandate (User mandate, 2026-05-22)</w:t>
      </w:r>
    </w:p>
    <w:p>
      <w:pPr>
        <w:pStyle w:val="FirstParagraph"/>
      </w:pPr>
      <w:r>
        <w:t xml:space="preserve">Direct user mandate (verbatim, 2026-05-22):</w:t>
      </w:r>
      <w:r>
        <w:t xml:space="preserve"> </w:t>
      </w: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w:t>
      </w:r>
      <w:r>
        <w:t xml:space="preserve"> </w:t>
      </w: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w:t>
      </w:r>
      <w:r>
        <w:t xml:space="preserve"> </w:t>
      </w: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beb0efc2c3abd7eb7ae074a5af6676909926193"/>
    <w:p>
      <w:pPr>
        <w:pStyle w:val="Heading3"/>
      </w:pPr>
      <w:r>
        <w:t xml:space="preserve">§11.4.86 — Roster/corpus-backed Status-doc auto-sync mandate (User mandate, 2026-05-25)</w:t>
      </w:r>
    </w:p>
    <w:p>
      <w:pPr>
        <w:pStyle w:val="FirstParagraph"/>
      </w:pPr>
      <w:r>
        <w:t xml:space="preserve">Forensic anchor (verbatim):</w:t>
      </w:r>
      <w:r>
        <w:t xml:space="preserve"> </w:t>
      </w: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65253a2f5bdd06f29482a7ccc71ef35d0874cc8"/>
    <w:p>
      <w:pPr>
        <w:pStyle w:val="Heading3"/>
      </w:pPr>
      <w:r>
        <w:t xml:space="preserve">§11.4.87 — Endless-loop autonomous work + zero-idle agent dispatch + anti-bluff testing mandate (User mandate, 2026-05-26)</w:t>
      </w:r>
    </w:p>
    <w:p>
      <w:pPr>
        <w:pStyle w:val="FirstParagraph"/>
      </w:pPr>
      <w:r>
        <w:t xml:space="preserve">When operator instructs an AI agent to</w:t>
      </w:r>
      <w:r>
        <w:t xml:space="preserve"> </w:t>
      </w:r>
      <w:r>
        <w:t xml:space="preserve">“continue in endless loop fully autonomously”</w:t>
      </w:r>
      <w:r>
        <w:t xml:space="preserve"> </w:t>
      </w:r>
      <w:r>
        <w:t xml:space="preserve">(or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w:t>
      </w:r>
      <w:r>
        <w:t xml:space="preserve"> </w:t>
      </w:r>
      <w:r>
        <w:t xml:space="preserve">“waiting for results”</w:t>
      </w:r>
      <w:r>
        <w:t xml:space="preserve"> </w:t>
      </w:r>
      <w:r>
        <w:t xml:space="preserve">is the ONLY idle reason; (C) every closure lands four-layer test coverage per §11.4.4(b) with captured-evidence</w:t>
      </w:r>
      <w:r>
        <w:t xml:space="preserve"> </w:t>
      </w:r>
      <w:r>
        <w:t xml:space="preserve">“physical proofs”</w:t>
      </w:r>
      <w:r>
        <w:t xml:space="preserve"> </w:t>
      </w:r>
      <w:r>
        <w:t xml:space="preserve">(audio/video/network/UI/sysfs) — metadata-only / config-only / absence-of-error / grep-without-runtime PASS are critical defects; (D) §11.4 anti-bluff covenant family operative end-to-end (tests AND HelixQA Challenges bound equally per forensic anchor</w:t>
      </w:r>
      <w:r>
        <w:t xml:space="preserve"> </w:t>
      </w:r>
      <w:r>
        <w:t xml:space="preserve">“tests pass but features don’t work”</w:t>
      </w:r>
      <w:r>
        <w:t xml:space="preserve">);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5"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5e97feef444829df55b657433e0c97babd6a09d"/>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bcc89827410d6fac484d6c21893a5d8f1736639"/>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e44cf56aea2de78400682829e74ef88f1eaaafb"/>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b49e989674742ffeb552ccbabd75b6229ac8ecf"/>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306c1e41a0dcfa32bec223fb2c54b181785d505"/>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480fa20498a53dea02a88d325e21f6337629bc3"/>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1bad886eb1e73a22a104a980dd26e06bcd7e10d"/>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816e02b22ba8f7de703aa5793d40e899b0c4afb"/>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d45437dcc5bfc87d54265b9ea50754944ceee51"/>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w:t>
      </w:r>
      <w:r>
        <w:t xml:space="preserve"> </w:t>
      </w:r>
      <w:r>
        <w:t xml:space="preserve">“Build running, nothing else to do”</w:t>
      </w:r>
      <w:r>
        <w:t xml:space="preserve"> </w:t>
      </w:r>
      <w:r>
        <w:t xml:space="preserve">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299b3e34b4de70e7475be43a7e5af7c1fbd1ec5"/>
    <w:p>
      <w:pPr>
        <w:pStyle w:val="Heading3"/>
      </w:pPr>
      <w:r>
        <w:t xml:space="preserve">§11.4.97 — Max-use-of-idle + progress-update cadence (User mandate, 2026-05-27)</w:t>
      </w:r>
    </w:p>
    <w:p>
      <w:pPr>
        <w:pStyle w:val="Compact"/>
        <w:numPr>
          <w:ilvl w:val="0"/>
          <w:numId w:val="1008"/>
        </w:numPr>
      </w:pPr>
      <w:r>
        <w:t xml:space="preserve">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FirstParagraph"/>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e71d8a3207d3153fbfa6d5d128440b2f5764815"/>
    <w:p>
      <w:pPr>
        <w:pStyle w:val="Heading3"/>
      </w:pPr>
      <w:r>
        <w:t xml:space="preserve">§11.4.98 — Full-Automation Anti-Bluff (User mandate, 2026-05-28)</w:t>
      </w:r>
    </w:p>
    <w:p>
      <w:pPr>
        <w:pStyle w:val="FirstParagraph"/>
      </w:pPr>
      <w:r>
        <w:t xml:space="preserve">Forensic anchor:</w:t>
      </w:r>
      <w:r>
        <w:t xml:space="preserve"> </w:t>
      </w:r>
      <w:r>
        <w:t xml:space="preserve">“Make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w:t>
      </w:r>
      <w:r>
        <w:t xml:space="preserve"> </w:t>
      </w:r>
      <w:r>
        <w:t xml:space="preserve">“operator MUST type”</w:t>
      </w:r>
      <w:r>
        <w:t xml:space="preserve"> </w:t>
      </w:r>
      <w:r>
        <w:t xml:space="preserve">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cf62896818ce617be832d801d37eda692d1b51b"/>
    <w:p>
      <w:pPr>
        <w:pStyle w:val="Heading3"/>
      </w:pPr>
      <w:r>
        <w:t xml:space="preserve">§11.4.99 — Latest-Source Documentation Cross-Reference (User mandate, 2026-05-28)</w:t>
      </w:r>
    </w:p>
    <w:p>
      <w:pPr>
        <w:pStyle w:val="FirstParagraph"/>
      </w:pPr>
      <w:r>
        <w:t xml:space="preserve">Forensic:</w:t>
      </w:r>
      <w:r>
        <w:t xml:space="preserve"> </w:t>
      </w:r>
      <w:r>
        <w:t xml:space="preserve">“ALWAYS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Compact"/>
        <w:numPr>
          <w:ilvl w:val="0"/>
          <w:numId w:val="1009"/>
        </w:numPr>
      </w:pPr>
      <w:r>
        <w:t xml:space="preserve">Pre-commit cross-reference: fetch LATEST official online docs (WebFetch/MCP/direct browsing — NEVER training data) for every operator-facing instruction doc; cite source URL+date in</w:t>
      </w:r>
      <w:r>
        <w:t xml:space="preserve"> </w:t>
      </w:r>
      <w:r>
        <w:t xml:space="preserve">“## Sources verified”</w:t>
      </w:r>
      <w:r>
        <w:t xml:space="preserve"> </w:t>
      </w:r>
      <w:r>
        <w:t xml:space="preserve">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FirstParagraph"/>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4d118e17e751cb8cac10d9c1690882a2a1aff4f"/>
    <w:p>
      <w:pPr>
        <w:pStyle w:val="Heading3"/>
      </w:pPr>
      <w:r>
        <w:t xml:space="preserve">§11.4.101 — Autonomous-decision-over-blocking (User mandate, 2026-05-28)</w:t>
      </w:r>
    </w:p>
    <w:p>
      <w:pPr>
        <w:pStyle w:val="FirstParagraph"/>
      </w:pPr>
      <w:r>
        <w:t xml:space="preserve">Forensic:</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eb42254ed66bfbc21f0ec2633af5b09969e21ad"/>
    <w:p>
      <w:pPr>
        <w:pStyle w:val="Heading3"/>
      </w:pPr>
      <w:r>
        <w:t xml:space="preserve">§11.4.102 — Systematic-debugging always-on + always-loaded skill-discovery + plugin availability (User mandate, 2026-05-29)</w:t>
      </w:r>
    </w:p>
    <w:p>
      <w:pPr>
        <w:pStyle w:val="FirstParagraph"/>
      </w:pPr>
      <w:r>
        <w:t xml:space="preserve">Forensic:</w:t>
      </w:r>
      <w:r>
        <w:t xml:space="preserve"> </w:t>
      </w:r>
      <w:r>
        <w:t xml:space="preserve">“ALWAYS trigger / start the”</w:t>
      </w:r>
      <w:r>
        <w:t xml:space="preserve">/superpowers:systematic-debugging” skills when any issues happen! … we MUST activate the skill(s) and make strongest efforts in full in depth analisys / debugging and determine root causes …</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Compact"/>
        <w:numPr>
          <w:ilvl w:val="0"/>
          <w:numId w:val="1010"/>
        </w:numPr>
      </w:pPr>
      <w:r>
        <w:t xml:space="preserve">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w:t>
      </w:r>
      <w:r>
        <w:t xml:space="preserve">“probably transient/flaky”</w:t>
      </w:r>
      <w:r>
        <w:t xml:space="preserve">)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Composes §11.4.4/6/7/8/43/70/82(A)/92.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FirstParagraph"/>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5d6bb964ec6a196e3a5c7fe62755c95e5623c22"/>
    <w:p>
      <w:pPr>
        <w:pStyle w:val="Heading3"/>
      </w:pPr>
      <w:r>
        <w:t xml:space="preserve">§11.4.103 — Continuous parallel-stream working routine (User mandate, 2026-05-29)</w:t>
      </w:r>
    </w:p>
    <w:p>
      <w:pPr>
        <w:pStyle w:val="FirstParagraph"/>
      </w:pPr>
      <w:r>
        <w:t xml:space="preserve">Forensic:</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d24df30d6391ab7d2b09a4fd21b75706060cc14"/>
    <w:p>
      <w:pPr>
        <w:pStyle w:val="Heading3"/>
      </w:pPr>
      <w:r>
        <w:t xml:space="preserve">§11.4.104 — Participant identity, attribution &amp; notification-tagging (User mandate, 2026-05-31)</w:t>
      </w:r>
    </w:p>
    <w:p>
      <w:pPr>
        <w:pStyle w:val="FirstParagraph"/>
      </w:pPr>
      <w:r>
        <w:t xml:space="preserve">Forensic:</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8f09e8cf981950dc26b9d77520ea0b7b8658da6"/>
    <w:p>
      <w:pPr>
        <w:pStyle w:val="Heading3"/>
      </w:pPr>
      <w:r>
        <w:t xml:space="preserve">§11.4.105 — Natural-language intent recognition &amp; clarification (User mandate, 2026-05-31)</w:t>
      </w:r>
    </w:p>
    <w:p>
      <w:pPr>
        <w:pStyle w:val="FirstParagraph"/>
      </w:pPr>
      <w:r>
        <w:t xml:space="preserve">Forensic:</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ffe037c34de267efaf1988a18b50af42074f279"/>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392079f322559b0d5165dc5cfd881afb311571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w:t>
      </w:r>
      <w:r>
        <w:t xml:space="preserve"> </w:t>
      </w:r>
      <w:r>
        <w:t xml:space="preserve">“a picture”</w:t>
      </w:r>
      <w:r>
        <w:t xml:space="preserve"> </w:t>
      </w:r>
      <w:r>
        <w:t xml:space="preserve">—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3a0d8fb062f6fc01fba89bfda84aab406a8cff9"/>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w:t>
      </w:r>
      <w:r>
        <w:t xml:space="preserve"> </w:t>
      </w:r>
      <w:r>
        <w:t xml:space="preserve">“green”</w:t>
      </w:r>
      <w:r>
        <w:t xml:space="preserve"> </w:t>
      </w:r>
      <w:r>
        <w:t xml:space="preserve">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ONE architectural VERIFICATION flaw, not independent bugs — patching symptoms is thrashing. A fix crosses FOUR distinct layers, and</w:t>
      </w:r>
      <w:r>
        <w:t xml:space="preserve"> </w:t>
      </w:r>
      <w:r>
        <w:t xml:space="preserve">“fixed”</w:t>
      </w:r>
      <w:r>
        <w:t xml:space="preserve"> </w:t>
      </w:r>
      <w:r>
        <w:t xml:space="preserve">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w:t>
      </w:r>
      <w:r>
        <w:t xml:space="preserve"> </w:t>
      </w:r>
      <w:r>
        <w:t xml:space="preserve">“fixed”</w:t>
      </w:r>
      <w:r>
        <w:t xml:space="preserve">, REPLACING</w:t>
      </w:r>
      <w:r>
        <w:t xml:space="preserve"> </w:t>
      </w:r>
      <w:r>
        <w:t xml:space="preserve">“a gate greps the source”</w:t>
      </w:r>
      <w:r>
        <w:t xml:space="preserv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re-certify EVERY item through it on a clean target; (6) a batch is</w:t>
      </w:r>
      <w:r>
        <w:t xml:space="preserve"> </w:t>
      </w:r>
      <w:r>
        <w:t xml:space="preserve">“validated”</w:t>
      </w:r>
      <w:r>
        <w:t xml:space="preserve"> </w:t>
      </w:r>
      <w:r>
        <w:t xml:space="preserve">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 reserved for</w:t>
      </w:r>
      <w:r>
        <w:t xml:space="preserve"> </w:t>
      </w:r>
      <w:r>
        <w:rPr>
          <w:i/>
          <w:iCs/>
        </w:rPr>
        <w:t xml:space="preserve">proven</w:t>
      </w:r>
      <w:r>
        <w:t xml:space="preserve"> </w:t>
      </w:r>
      <w:r>
        <w:t xml:space="preserve">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90f8d27aba241fb8194dfdd4dced0f806c18816"/>
    <w:p>
      <w:pPr>
        <w:pStyle w:val="Heading3"/>
      </w:pPr>
      <w:r>
        <w:t xml:space="preserve">§11.4.113 — Absolute no-force-push + merge-onto-latest-main mandate (User mandate, 2026-06-03)</w:t>
      </w:r>
    </w:p>
    <w:p>
      <w:pPr>
        <w:pStyle w:val="FirstParagraph"/>
      </w:pPr>
      <w: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r>
        <w:t xml:space="preserve"> </w:t>
      </w: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w:t>
      </w:r>
      <w:r>
        <w:t xml:space="preserve"> </w:t>
      </w:r>
      <w:r>
        <w:t xml:space="preserve">“after merge-first audit”</w:t>
      </w:r>
      <w:r>
        <w:t xml:space="preserve"> </w:t>
      </w:r>
      <w:r>
        <w:t xml:space="preserve">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w:t>
      </w:r>
      <w:r>
        <w:t xml:space="preserve"> </w:t>
      </w:r>
      <w:r>
        <w:t xml:space="preserve">“…then force-push”</w:t>
      </w:r>
      <w:r>
        <w:t xml:space="preserve"> </w:t>
      </w:r>
      <w:r>
        <w:t xml:space="preserve">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w:t>
      </w:r>
      <w:r>
        <w:t xml:space="preserve"> </w:t>
      </w:r>
      <w:r>
        <w:t xml:space="preserve">“it worked before”</w:t>
      </w:r>
      <w:r>
        <w:t xml:space="preserve"> </w:t>
      </w:r>
      <w:r>
        <w:t xml:space="preserve">is a HYPOTHESIS until the tag is identified AND the feature confirmed working there;</w:t>
      </w:r>
      <w:r>
        <w:t xml:space="preserve"> </w:t>
      </w:r>
      <w:r>
        <w:t xml:space="preserve">“probably regressed last batch”</w:t>
      </w:r>
      <w:r>
        <w:t xml:space="preserve"> </w:t>
      </w:r>
      <w:r>
        <w:t xml:space="preserve">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w:t>
      </w:r>
      <w:r>
        <w:t xml:space="preserve"> </w:t>
      </w:r>
      <w:r>
        <w:t xml:space="preserve">“near-empty hierarchy → INFEASIBLE”</w:t>
      </w:r>
      <w:r>
        <w:t xml:space="preserve"> </w:t>
      </w:r>
      <w:r>
        <w:t xml:space="preserve">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w:t>
      </w:r>
      <w:r>
        <w:t xml:space="preserve"> </w:t>
      </w:r>
      <w:r>
        <w:t xml:space="preserve">“We found no other issues”</w:t>
      </w:r>
      <w:r>
        <w:t xml:space="preserve"> </w:t>
      </w:r>
      <w:r>
        <w:t xml:space="preserve">is a §11.4 bluff unless paired with</w:t>
      </w:r>
      <w:r>
        <w:t xml:space="preserve"> </w:t>
      </w:r>
      <w:r>
        <w:t xml:space="preserve">“here is the enumerated set we exercised”</w:t>
      </w:r>
      <w:r>
        <w:t xml:space="preserve"> </w:t>
      </w:r>
      <w:r>
        <w:t xml:space="preserve">— absence of evidence of looking is not evidence of absence. New findings trigger §11.4.4 interrupt + §11.4.114/§11.4.115 isolation→RED→fix. Honest boundary (§11.4.6): discovery reduces the unknown-unknown surface, does not prove zero remaining defects — earned claim is</w:t>
      </w:r>
      <w:r>
        <w:t xml:space="preserve"> </w:t>
      </w:r>
      <w:r>
        <w:t xml:space="preserve">“reported set + enumerated discovery set addressed,”</w:t>
      </w:r>
      <w:r>
        <w:t xml:space="preserve"> </w:t>
      </w:r>
      <w:r>
        <w:t xml:space="preserve">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w:t>
      </w:r>
      <w:r>
        <w:t xml:space="preserve"> </w:t>
      </w:r>
      <w:r>
        <w:t xml:space="preserve">“stale gate”</w:t>
      </w:r>
      <w:r>
        <w:t xml:space="preserve"> </w:t>
      </w:r>
      <w:r>
        <w:t xml:space="preserve">—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w:t>
      </w:r>
      <w:r>
        <w:t xml:space="preserve"> </w:t>
      </w:r>
      <w:r>
        <w:t xml:space="preserve">“commit captures transient non-final tree state”</w:t>
      </w:r>
      <w:r>
        <w:t xml:space="preserve"> </w:t>
      </w:r>
      <w:r>
        <w:t xml:space="preserve">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w:t>
      </w:r>
      <w:r>
        <w:t xml:space="preserve"> </w:t>
      </w:r>
      <w:r>
        <w:t xml:space="preserve">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w:t>
      </w:r>
      <w:r>
        <w:t xml:space="preserve"> </w:t>
      </w:r>
      <w:r>
        <w:t xml:space="preserve">“a capability that shipped before no longer ships.”</w:t>
      </w:r>
      <w:r>
        <w:t xml:space="preserve"> </w:t>
      </w:r>
      <w:r>
        <w:t xml:space="preserve">Adding / replacing-with-operator-approved-equivalent / fixing is NOT a removal; when uncertain, treat AS a removal and ask (§11.4.6 no-guessing). A silent removal is a release blocker regardless of rationale (dedup /</w:t>
      </w:r>
      <w:r>
        <w:t xml:space="preserve"> </w:t>
      </w:r>
      <w:r>
        <w:t xml:space="preserve">“broken anyway”</w:t>
      </w:r>
      <w:r>
        <w:t xml:space="preserve"> </w:t>
      </w:r>
      <w:r>
        <w:t xml:space="preserve">/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r>
        <w:t xml:space="preserve"> </w:t>
      </w:r>
      <w:r>
        <w:t xml:space="preserve">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w:t>
      </w:r>
      <w:r>
        <w:t xml:space="preserve"> </w:t>
      </w:r>
      <w:r>
        <w:t xml:space="preserve">“unclear how to validate”</w:t>
      </w:r>
      <w:r>
        <w:t xml:space="preserve"> </w:t>
      </w:r>
      <w:r>
        <w:t xml:space="preserve">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w:t>
      </w:r>
      <w:r>
        <w:t xml:space="preserve"> </w:t>
      </w:r>
      <w:r>
        <w:t xml:space="preserve">“untestable”</w:t>
      </w:r>
      <w:r>
        <w:t xml:space="preserve">/</w:t>
      </w:r>
      <w:r>
        <w:t xml:space="preserve">“not automatable”</w:t>
      </w:r>
      <w:r>
        <w:t xml:space="preserve"> </w:t>
      </w:r>
      <w:r>
        <w:t xml:space="preserve">or accepting a metadata-only PASS WITHOUT first exhausting this deep-research path is itself a §11.4.123 violation (same severity as a PASS-bluff); the cited research (URLs + the method, OR</w:t>
      </w:r>
      <w:r>
        <w:t xml:space="preserve"> </w:t>
      </w:r>
      <w:r>
        <w:t xml:space="preserve">“NO external solution found — original work”</w:t>
      </w:r>
      <w:r>
        <w:t xml:space="preserve"> </w:t>
      </w:r>
      <w:r>
        <w:t xml:space="preserve">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w:t>
      </w:r>
      <w:r>
        <w:t xml:space="preserve"> </w:t>
      </w:r>
      <w:r>
        <w:t xml:space="preserve">“probably dead”</w:t>
      </w:r>
      <w:r>
        <w:t xml:space="preserve"> </w:t>
      </w:r>
      <w:r>
        <w:t xml:space="preserve">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w:t>
      </w:r>
      <w:r>
        <w:t xml:space="preserve"> </w:t>
      </w:r>
      <w:r>
        <w:t xml:space="preserve">“probably took”</w:t>
      </w:r>
      <w:r>
        <w:t xml:space="preserve"> </w:t>
      </w:r>
      <w:r>
        <w:t xml:space="preserve">≠</w:t>
      </w:r>
      <w:r>
        <w:t xml:space="preserve"> </w:t>
      </w:r>
      <w:r>
        <w:t xml:space="preserve">“took”</w:t>
      </w:r>
      <w:r>
        <w:t xml:space="preserve">;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w:t>
      </w:r>
      <w:r>
        <w:t xml:space="preserve"> </w:t>
      </w:r>
      <w:r>
        <w:t xml:space="preserve">“validate-just-fixed-first”</w:t>
      </w:r>
      <w:r>
        <w:t xml:space="preserve"> </w:t>
      </w:r>
      <w:r>
        <w:t xml:space="preserve">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4"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w:t>
      </w:r>
      <w:r>
        <w:t xml:space="preserve"> </w:t>
      </w:r>
      <w:r>
        <w:t xml:space="preserve">“addressed the findings”</w:t>
      </w:r>
      <w:r>
        <w:t xml:space="preserve"> </w:t>
      </w:r>
      <w:r>
        <w:t xml:space="preserve">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w:t>
      </w:r>
      <w:r>
        <w:t xml:space="preserve"> </w:t>
      </w:r>
      <w:r>
        <w:t xml:space="preserve">“fixed”</w:t>
      </w:r>
      <w:r>
        <w:t xml:space="preserve"> </w:t>
      </w:r>
      <w:r>
        <w:t xml:space="preserve">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w:t>
      </w:r>
      <w:r>
        <w:t xml:space="preserve"> </w:t>
      </w:r>
      <w:r>
        <w:t xml:space="preserve">“physically verify the 2nd-display subtitle”</w:t>
      </w:r>
      <w:r>
        <w:t xml:space="preserve"> </w:t>
      </w:r>
      <w:r>
        <w:t xml:space="preserve">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w:t>
      </w:r>
      <w:r>
        <w:t xml:space="preserve"> </w:t>
      </w:r>
      <w:r>
        <w:t xml:space="preserve">“physical”</w:t>
      </w:r>
      <w:r>
        <w:t xml:space="preserve"> </w:t>
      </w:r>
      <w:r>
        <w:t xml:space="preserve">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r>
        <w:t xml:space="preserve"> </w:t>
      </w:r>
      <w:r>
        <w:t xml:space="preserve">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w:t>
      </w:r>
      <w:r>
        <w:t xml:space="preserve"> </w:t>
      </w:r>
      <w:r>
        <w:t xml:space="preserve">“TODO implement”</w:t>
      </w:r>
      <w:r>
        <w:t xml:space="preserve"> </w:t>
      </w:r>
      <w:r>
        <w:t xml:space="preserve">/</w:t>
      </w:r>
      <w:r>
        <w:t xml:space="preserve"> </w:t>
      </w:r>
      <w:r>
        <w:t xml:space="preserve">“simulate”</w:t>
      </w:r>
      <w:r>
        <w:t xml:space="preserve"> </w:t>
      </w:r>
      <w:r>
        <w:t xml:space="preserve">/</w:t>
      </w:r>
      <w:r>
        <w:t xml:space="preserve"> </w:t>
      </w:r>
      <w:r>
        <w:t xml:space="preserve">“for now”</w:t>
      </w:r>
      <w:r>
        <w:t xml:space="preserve"> </w:t>
      </w:r>
      <w:r>
        <w:t xml:space="preserve">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w:t>
      </w:r>
      <w:r>
        <w:t xml:space="preserve"> </w:t>
      </w:r>
      <w:r>
        <w:t xml:space="preserve">“something ran”</w:t>
      </w:r>
      <w:r>
        <w:t xml:space="preserve">), LLM responses are REAL content (not simulated, not placeholder, not empty), every claim of</w:t>
      </w:r>
      <w:r>
        <w:t xml:space="preserve"> </w:t>
      </w:r>
      <w:r>
        <w:t xml:space="preserve">“working”</w:t>
      </w:r>
      <w:r>
        <w:t xml:space="preserve"> </w:t>
      </w:r>
      <w:r>
        <w:t xml:space="preserve">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(https://github.com/nexu-io/open-design)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w:t>
      </w:r>
      <w:r>
        <w:t xml:space="preserve"> </w:t>
      </w:r>
      <w:r>
        <w:t xml:space="preserve">“green”</w:t>
      </w:r>
      <w:r>
        <w:t xml:space="preserve"> </w:t>
      </w:r>
      <w:r>
        <w:t xml:space="preserve">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bookmarkEnd w:id="84"/>
    <w:bookmarkEnd w:id="85"/>
    <w:bookmarkStart w:id="86" w:name="companion-documents-1"/>
    <w:p>
      <w:pPr>
        <w:pStyle w:val="Heading2"/>
      </w:pPr>
      <w:r>
        <w:t xml:space="preserve">Companion documents</w:t>
      </w:r>
    </w:p>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2026-06-23T20:24:59Z</dcterms:created>
  <dcterms:modified xsi:type="dcterms:W3CDTF">2026-06-23T20:24:59Z</dcterms:modified>
</cp:coreProperties>
</file>

<file path=docProps/custom.xml><?xml version="1.0" encoding="utf-8"?>
<Properties xmlns="http://schemas.openxmlformats.org/officeDocument/2006/custom-properties" xmlns:vt="http://schemas.openxmlformats.org/officeDocument/2006/docPropsVTypes"/>
</file>