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56"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52</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2026-07-17T05:00:00Z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Strengthened §11.4.115 + §11.4.135 + §11.4.146 (research-derived, 2026-07-17 — the status-without-custody forensics from a consuming project): NO new anchor minted — the rules already existed as prose and did not bind; landed the MECHANICAL BINDING instead. Forensic FACTs (genericised): 576 tracked items, 182 done-claiming, 173 (95%) with NO registered guard — an operator sampled 6 done-claimers, 6/6 broken (the expected draw of that arithmetic, not bad luck); recorded reopen-per-recorded-fix 52% (elite &lt;10%), itself an UNDERCOUNT because recurrences re-entered as new ids and statuses moved with zero history rows; the guard suite's exit code read ONLY its FAIL count — measured live on a release candidate: 61 guards → PASS 0 / FAIL 5 / PENDING 56 → exit 0 "not blocked" — and the release-tag tooling consulted the guards ZERO times, so "never verified" and "verified good" were the same colour; the project's own history selected the discriminator: every fix whose done-claim was preceded by an on-device RED→GREEN flip that HELD recorded zero reopens, every fix confirmed at source-green bounced. §11.4.115(F) — machine-written verdict pairs + guard-viability: RED/GREEN are harness-written verdict files (target fingerprint read from the target at run time, RED fingerprint ≠ GREEN fingerprint, iterations ≥3, evidence class matches the defect's layer — a grep transcript can never satisfy a user-visible class); a guard never observed FAILing on the genuinely-broken artifact is unvalidated instrumentation and mints no verdicts; the canonical §1.1 mutation is the fix-commit's revert, and a string-deletion mutation that only removes what the gate greps is a refused tautology; gate</w:t>
            </w:r>
            <w:r>
              <w:t xml:space="preserve"> </w:t>
            </w:r>
            <w:r>
              <w:rPr>
                <w:rStyle w:val="VerbatimChar"/>
              </w:rPr>
              <w:t xml:space="preserve">CM-GUARD-VERDICT-MACHINE-WRITTEN</w:t>
            </w:r>
            <w:r>
              <w:t xml:space="preserve">. §11.4.135 verdict-coverage extension — the suite exit MUST incorporate COVERAGE, never only N_FAIL; the release seam blocks on</w:t>
            </w:r>
            <w:r>
              <w:t xml:space="preserve"> </w:t>
            </w:r>
            <w:r>
              <w:rPr>
                <w:rStyle w:val="VerbatimChar"/>
              </w:rPr>
              <w:t xml:space="preserve">uncovered = registered ∧ topology-present ∧ no-verdict-for-the-candidate-fingerprint</w:t>
            </w:r>
            <w:r>
              <w:t xml:space="preserve"> </w:t>
            </w:r>
            <w:r>
              <w:t xml:space="preserve">(ABSENCE of a verdict blocks exactly as a FAIL does); the release-tag tooling MUST consult the verdict store; REQUIRES-REBUILD PENDING is self-clearing on the candidate, topology exemptions enumerated via a checked-in map never silent, adoption via a monotone-decrease ratchet, and a naive "PENDING always blocks" is rejected as a §11.4.201 FAIL-bluff; gate</w:t>
            </w:r>
            <w:r>
              <w:t xml:space="preserve"> </w:t>
            </w:r>
            <w:r>
              <w:rPr>
                <w:rStyle w:val="VerbatimChar"/>
              </w:rPr>
              <w:t xml:space="preserve">CM-RELEASE-VERDICT-COVERAGE</w:t>
            </w:r>
            <w:r>
              <w:t xml:space="preserve">. §11.4.146(D3) — status-custody: a done/ready status write is REFUSED at the status-write seam without the file chain registry-row-keyed-by-the-item's-EXACT-id (alias map for legacy keys) → executable guard → RED+GREEN verdict pair → class-matched evidence (prose nowhere in the chain); a full-table sweep gate (not a diff check) catches raw-DB bypasses; §11.4.205 construction order — the executable sweep + its golden-bad fixture land in the SAME commit as any governance text citing them, and the meta-test asserts the sweep is WIRED; gate</w:t>
            </w:r>
            <w:r>
              <w:t xml:space="preserve"> </w:t>
            </w:r>
            <w:r>
              <w:rPr>
                <w:rStyle w:val="VerbatimChar"/>
              </w:rPr>
              <w:t xml:space="preserve">CM-STATUS-CUSTODY</w:t>
            </w:r>
            <w:r>
              <w:t xml:space="preserve">. Honest boundary §11.4.6 carried explicitly: the binding does not prove features bug-free (§11.4.186 family dedup remains), does not fix a miscalibrated oracle (§11.4.107(10) goldens necessary-not-sufficient), does not replace §11.4.185 manual QA, and makes target availability a hard dependency BY DESIGN. All Classification: universal (§11.4.17) — no hardware/vendor/project literal; consumers supply registry/sweep/topology-map paths as DATA per §11.4.35. Propagation gates for literals</w:t>
            </w:r>
            <w:r>
              <w:t xml:space="preserve"> </w:t>
            </w:r>
            <w:r>
              <w:rPr>
                <w:rStyle w:val="VerbatimChar"/>
              </w:rPr>
              <w:t xml:space="preserve">11.4.115</w:t>
            </w:r>
            <w:r>
              <w:t xml:space="preserve">/</w:t>
            </w:r>
            <w:r>
              <w:rPr>
                <w:rStyle w:val="VerbatimChar"/>
              </w:rPr>
              <w:t xml:space="preserve">11.4.135</w:t>
            </w:r>
            <w:r>
              <w:t xml:space="preserve">/</w:t>
            </w:r>
            <w:r>
              <w:rPr>
                <w:rStyle w:val="VerbatimChar"/>
              </w:rPr>
              <w:t xml:space="preserve">11.4.146</w:t>
            </w:r>
            <w:r>
              <w:t xml:space="preserve"> </w:t>
            </w:r>
            <w:r>
              <w:t xml:space="preserve">unchanged (stay GREEN). CLAUDE.md + AGENTS.md + QWEN.md + GEMINI.md mirrors updated in lockstep (§11.4.157). Prior round: Added §11.4.213 — FEATURE research-scheduling directive (operator-directed mandate, 2026-07-16): a new §11.4.140-registered action</w:t>
            </w:r>
            <w:r>
              <w:t xml:space="preserve"> </w:t>
            </w:r>
            <w:r>
              <w:rPr>
                <w:rStyle w:val="VerbatimChar"/>
              </w:rPr>
              <w:t xml:space="preserve">FEATURE</w:t>
            </w:r>
            <w:r>
              <w:t xml:space="preserve"> </w:t>
            </w:r>
            <w:r>
              <w:t xml:space="preserve">(all six grammar forms incl. the single-colon</w:t>
            </w:r>
            <w:r>
              <w:t xml:space="preserve"> </w:t>
            </w:r>
            <w:r>
              <w:rPr>
                <w:rStyle w:val="VerbatimChar"/>
              </w:rPr>
              <w:t xml:space="preserve">FEATURE:</w:t>
            </w:r>
            <w:r>
              <w:t xml:space="preserve"> </w:t>
            </w:r>
            <w:r>
              <w:t xml:space="preserve">form) that SCHEDULES — never synchronously runs — a deep, enterprise-grade research + implementation-planning effort as a Type=Task workable item, reusing the §11.4.202</w:t>
            </w:r>
            <w:r>
              <w:t xml:space="preserve"> </w:t>
            </w:r>
            <w:r>
              <w:rPr>
                <w:rStyle w:val="VerbatimChar"/>
              </w:rPr>
              <w:t xml:space="preserve">report_item.sh</w:t>
            </w:r>
            <w:r>
              <w:t xml:space="preserve"> </w:t>
            </w:r>
            <w:r>
              <w:t xml:space="preserve">engine for item-creation + DB-sync + tracker-push (never reimplemented) plus a new durable</w:t>
            </w:r>
            <w:r>
              <w:t xml:space="preserve"> </w:t>
            </w:r>
            <w:r>
              <w:rPr>
                <w:rStyle w:val="VerbatimChar"/>
              </w:rPr>
              <w:t xml:space="preserve">docs/requests/feature_queue.md</w:t>
            </w:r>
            <w:r>
              <w:t xml:space="preserve"> </w:t>
            </w:r>
            <w:r>
              <w:t xml:space="preserve">queue so a scheduled request is never dropped; the created item embeds the full mandate (deep web research §11.4.8/.99/.150; systematic-debug of every weak-spot/gap/danger-zone §11.4.102 with a risk-free rock-solid design per gap; always enterprise-grade/bleeding-edge/innovative; exhaustive documentation down to lines-of-code + micro-POCs + diagrams + SQL + templates §11.4.65/.73; reuse-first investigation of vasic-digital/HelixDevelopment components before rewriting, kept decoupled §11.4.28/.74/.177; full test-type + Challenges + HelixQA planning §11.4.27/.169; fine-grained phased/task/subtask breakdown; enterprise-scalability + max-performance planning; OpenDesign UI/UX wireframes where applicable §11.4.162/.190; full CodeGraph integration §11.4.78/.79/.80; fully-detailed workable items synced in real time to the SQLite SSoT + every connected external tracker §11.4.93/.95/.148 D5, honest-skipping any absent tracker §11.4.10) as its acceptance-defining work program — the multi-day research itself is EXECUTED by the standing autonomous loop (§11.4.87/.94/.97/.103/.126) when it claims the item, driven to a genuinely COMPLETED-and-wired or explicitly evidence-backed CLOSED terminal state under the §11.4.197 research-completion mandate, NEVER left sitting un-wired in the backlog.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 Classification: universal (§11.4.17). CLAUDE.md + AGENTS.md + QWEN.md + GEMINI.md mirrors updated in lockstep (§11.4.157). Prior round: Added §11.4.211 + §11.4.212 (User mandate 2026-07-16). §11.4.211 — Merge-conflict resolution during any main→feature/product/flavor merge MUST run on the Fable model at xhigh effort (Opus xhigh fallback): the merge-CONFLICT-resolution analogue of §11.4.209's code-REVIEW model-pin (which side to keep, how to UNION both sides without loss, marker removal, semantic reconciliation), fallback Opus-xhigh ONLY on genuine Fable-unavailability (FACT §11.4.6, never guessed), scope generalises the operator's tracks-2-4 → EVERY track's controlled main→(feature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4"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9"/>
    <w:bookmarkStart w:id="210"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0"/>
    <w:bookmarkStart w:id="211"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1"/>
    <w:bookmarkStart w:id="212"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2"/>
    <w:bookmarkStart w:id="21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3"/>
    <w:bookmarkStart w:id="215"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4">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5"/>
    <w:bookmarkStart w:id="216"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6"/>
    <w:bookmarkStart w:id="217"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7"/>
    <w:bookmarkStart w:id="218"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8"/>
    <w:bookmarkStart w:id="219"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9"/>
    <w:bookmarkStart w:id="220"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0"/>
    <w:bookmarkStart w:id="221"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1"/>
    <w:bookmarkStart w:id="222"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8">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2"/>
    <w:bookmarkStart w:id="223"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3"/>
    <w:bookmarkEnd w:id="224"/>
    <w:bookmarkStart w:id="232"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5"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5"/>
    <w:bookmarkStart w:id="226"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6"/>
    <w:bookmarkStart w:id="227"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7"/>
    <w:bookmarkStart w:id="228"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8"/>
    <w:bookmarkStart w:id="229"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9"/>
    <w:bookmarkStart w:id="230"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0"/>
    <w:bookmarkStart w:id="231"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1"/>
    <w:bookmarkEnd w:id="232"/>
    <w:bookmarkStart w:id="238"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3">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4">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5">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6">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7">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8"/>
    <w:bookmarkStart w:id="239"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39"/>
    <w:bookmarkStart w:id="255"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40"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40"/>
    <w:bookmarkStart w:id="241"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1"/>
    <w:bookmarkStart w:id="242"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2"/>
    <w:bookmarkStart w:id="243"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3"/>
    <w:bookmarkStart w:id="244"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4"/>
    <w:bookmarkStart w:id="245"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5"/>
    <w:bookmarkStart w:id="246"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6"/>
    <w:bookmarkStart w:id="247"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7"/>
    <w:bookmarkStart w:id="248"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8"/>
    <w:bookmarkStart w:id="249"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49"/>
    <w:bookmarkStart w:id="250"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50"/>
    <w:bookmarkStart w:id="251"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1"/>
    <w:bookmarkStart w:id="252"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2"/>
    <w:bookmarkStart w:id="253"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3"/>
    <w:bookmarkStart w:id="254"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4"/>
    <w:bookmarkEnd w:id="255"/>
    <w:bookmarkEnd w:id="2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2026-07-16T22:42:24Z</dcterms:created>
  <dcterms:modified xsi:type="dcterms:W3CDTF">2026-07-16T22:42:24Z</dcterms:modified>
</cp:coreProperties>
</file>

<file path=docProps/custom.xml><?xml version="1.0" encoding="utf-8"?>
<Properties xmlns="http://schemas.openxmlformats.org/officeDocument/2006/custom-properties" xmlns:vt="http://schemas.openxmlformats.org/officeDocument/2006/docPropsVTypes"/>
</file>