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README</w:t>
      </w:r>
    </w:p>
    <w:bookmarkStart w:id="16" w:name="Xec99d9f35fc1824d3eef1429bd1befa5e5beb16"/>
    <w:p>
      <w:pPr>
        <w:pStyle w:val="Heading1"/>
      </w:pPr>
      <w:r>
        <w:t xml:space="preserve">constitution/scripts/multitrack — generic multi-track development engine</w:t>
      </w:r>
    </w:p>
    <w:p>
      <w:pPr>
        <w:pStyle w:val="FirstParagraph"/>
      </w:pPr>
      <w:r>
        <w:rPr>
          <w:b/>
          <w:bCs/>
        </w:rPr>
        <w:t xml:space="preserve">Revision:</w:t>
      </w:r>
      <w:r>
        <w:t xml:space="preserve"> </w:t>
      </w:r>
      <w:r>
        <w:t xml:space="preserve">2</w:t>
      </w:r>
      <w:r>
        <w:t xml:space="preserve"> </w:t>
      </w:r>
      <w:r>
        <w:rPr>
          <w:b/>
          <w:bCs/>
        </w:rPr>
        <w:t xml:space="preserve">Last modified:</w:t>
      </w:r>
      <w:r>
        <w:t xml:space="preserve"> </w:t>
      </w:r>
      <w:r>
        <w:t xml:space="preserve">2026-07-03T23:20:00Z</w:t>
      </w:r>
      <w:r>
        <w:t xml:space="preserve"> </w:t>
      </w:r>
      <w:r>
        <w:rPr>
          <w:b/>
          <w:bCs/>
        </w:rPr>
        <w:t xml:space="preserve">Status:</w:t>
      </w:r>
      <w:r>
        <w:t xml:space="preserve"> </w:t>
      </w:r>
      <w:r>
        <w:t xml:space="preserve">active</w:t>
      </w:r>
      <w:r>
        <w:t xml:space="preserve"> </w:t>
      </w:r>
      <w:r>
        <w:rPr>
          <w:b/>
          <w:bCs/>
        </w:rPr>
        <w:t xml:space="preserve">Classification:</w:t>
      </w:r>
      <w:r>
        <w:t xml:space="preserve"> </w:t>
      </w:r>
      <w:r>
        <w:t xml:space="preserve">universal (§11.4.17) — project-agnostic engine; zero</w:t>
      </w:r>
      <w:r>
        <w:t xml:space="preserve"> </w:t>
      </w:r>
      <w:r>
        <w:t xml:space="preserve">project-specific literals (no consumer hardware / vendor / host / package</w:t>
      </w:r>
      <w:r>
        <w:t xml:space="preserve"> </w:t>
      </w:r>
      <w:r>
        <w:t xml:space="preserve">names anywhere in this directory, per §11.4.28(B)).</w:t>
      </w:r>
    </w:p>
    <w:p>
      <w:pPr>
        <w:pStyle w:val="BodyText"/>
      </w:pPr>
      <w:r>
        <w:t xml:space="preserve">Project-agnostic runtime for the §11.4.176 / §11.4.167 multi-track development</w:t>
      </w:r>
      <w:r>
        <w:t xml:space="preserve"> </w:t>
      </w:r>
      <w:r>
        <w:t xml:space="preserve">system: worktree-per-alias resolution, the exactly-once claim registry</w:t>
      </w:r>
      <w:r>
        <w:t xml:space="preserve"> </w:t>
      </w:r>
      <w:r>
        <w:t xml:space="preserve">(§11.4.176(A)), the capability-aware deadlock-proof device-lock (§11.4.176(B)),</w:t>
      </w:r>
      <w:r>
        <w:t xml:space="preserve"> </w:t>
      </w:r>
      <w:r>
        <w:t xml:space="preserve">the orchestrator bind/fallback/cooldown lease, the cwd-hook contract, the</w:t>
      </w:r>
      <w:r>
        <w:t xml:space="preserve"> </w:t>
      </w:r>
      <w:r>
        <w:t xml:space="preserve">single-builder rebuild queue, and the tmux launch entrypoint. Every consuming</w:t>
      </w:r>
      <w:r>
        <w:t xml:space="preserve"> </w:t>
      </w:r>
      <w:r>
        <w:t xml:space="preserve">project inherits this directory verbatim (§11.4.28(B) decoupling, §11.4.35</w:t>
      </w:r>
      <w:r>
        <w:t xml:space="preserve"> </w:t>
      </w:r>
      <w:r>
        <w:t xml:space="preserve">canonical-root) and supplies ONLY its own per-host config data.</w:t>
      </w:r>
    </w:p>
    <w:bookmarkStart w:id="9" w:name="X5594c4ac29cb28093502fc6700f96e976d47846"/>
    <w:p>
      <w:pPr>
        <w:pStyle w:val="Heading2"/>
      </w:pPr>
      <w:r>
        <w:t xml:space="preserve">What lives here (GENERIC) vs what the consumer supplies (PROJECT DATA)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Role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multitrack_config.sh</w:t>
            </w:r>
          </w:p>
        </w:tc>
        <w:tc>
          <w:tcPr/>
          <w:p>
            <w:pPr>
              <w:pStyle w:val="Compact"/>
            </w:pPr>
            <w:r>
              <w:t xml:space="preserve">SOURCED library: per-host YAML loader + live-drive detect (by serial, §11.4.111) + protect-guard + track-plan. Provides</w:t>
            </w:r>
            <w:r>
              <w:t xml:space="preserve"> </w:t>
            </w:r>
            <w:r>
              <w:rPr>
                <w:rStyle w:val="VerbatimChar"/>
              </w:rPr>
              <w:t xml:space="preserve">mt_repo_root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mt_config_dir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mt_config_file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mt_resolve_host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mt_load_config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mt_load_pool</w:t>
            </w:r>
            <w:r>
              <w:t xml:space="preserve"> </w:t>
            </w:r>
            <w:r>
              <w:t xml:space="preserve">+ the scalar/list accessors</w:t>
            </w:r>
            <w:r>
              <w:t xml:space="preserve"> </w:t>
            </w:r>
            <w:r>
              <w:rPr>
                <w:rStyle w:val="VerbatimChar"/>
              </w:rPr>
              <w:t xml:space="preserve">mt_config_conductor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mt_config_fallback_signatures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multitrack.sh</w:t>
            </w:r>
          </w:p>
        </w:tc>
        <w:tc>
          <w:tcPr/>
          <w:p>
            <w:pPr>
              <w:pStyle w:val="Compact"/>
            </w:pPr>
            <w:r>
              <w:t xml:space="preserve">Entrypoint (</w:t>
            </w:r>
            <w:r>
              <w:rPr>
                <w:rStyle w:val="VerbatimChar"/>
              </w:rPr>
              <w:t xml:space="preserve">status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up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multitrack_resolve_worktree.sh</w:t>
            </w:r>
          </w:p>
        </w:tc>
        <w:tc>
          <w:tcPr/>
          <w:p>
            <w:pPr>
              <w:pStyle w:val="Compact"/>
            </w:pPr>
            <w:r>
              <w:t xml:space="preserve">Alias → worktree resolution (</w:t>
            </w:r>
            <w:r>
              <w:rPr>
                <w:rStyle w:val="VerbatimChar"/>
              </w:rPr>
              <w:t xml:space="preserve">resolve</w:t>
            </w:r>
            <w:r>
              <w:t xml:space="preserve">), alias → track resolution (</w:t>
            </w:r>
            <w:r>
              <w:rPr>
                <w:rStyle w:val="VerbatimChar"/>
              </w:rPr>
              <w:t xml:space="preserve">track</w:t>
            </w:r>
            <w:r>
              <w:t xml:space="preserve">, used by bind-on-start), and the</w:t>
            </w:r>
            <w:r>
              <w:t xml:space="preserve"> </w:t>
            </w:r>
            <w:r>
              <w:rPr>
                <w:rStyle w:val="VerbatimChar"/>
              </w:rPr>
              <w:t xml:space="preserve">map</w:t>
            </w:r>
            <w:r>
              <w:t xml:space="preserve"> </w:t>
            </w:r>
            <w:r>
              <w:t xml:space="preserve">table. Honors the</w:t>
            </w:r>
            <w:r>
              <w:t xml:space="preserve"> </w:t>
            </w:r>
            <w:r>
              <w:rPr>
                <w:rStyle w:val="VerbatimChar"/>
              </w:rPr>
              <w:t xml:space="preserve">conductor:</w:t>
            </w:r>
            <w:r>
              <w:t xml:space="preserve"> </w:t>
            </w:r>
            <w:r>
              <w:t xml:space="preserve">key (conductor stays on /home), orchestrator binding (most-recent wins), else positional map.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multitrack_registry.sh</w:t>
            </w:r>
          </w:p>
        </w:tc>
        <w:tc>
          <w:tcPr/>
          <w:p>
            <w:pPr>
              <w:pStyle w:val="Compact"/>
            </w:pPr>
            <w:r>
              <w:t xml:space="preserve">flock TSV get/set over</w:t>
            </w:r>
            <w:r>
              <w:t xml:space="preserve"> </w:t>
            </w:r>
            <w:r>
              <w:rPr>
                <w:rStyle w:val="VerbatimChar"/>
              </w:rPr>
              <w:t xml:space="preserve">&lt;repo&gt;/.ws_state/streams.tsv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multitrack_claim.sh</w:t>
            </w:r>
          </w:p>
        </w:tc>
        <w:tc>
          <w:tcPr/>
          <w:p>
            <w:pPr>
              <w:pStyle w:val="Compact"/>
            </w:pPr>
            <w:r>
              <w:t xml:space="preserve">Exactly-once item→track claim + TTL reap (§11.4.176(A)).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multitrack_device_lock.sh</w:t>
            </w:r>
          </w:p>
        </w:tc>
        <w:tc>
          <w:tcPr/>
          <w:p>
            <w:pPr>
              <w:pStyle w:val="Compact"/>
            </w:pPr>
            <w:r>
              <w:t xml:space="preserve">Capability-aware deadlock-proof device-lock (§11.4.176(B)).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multitrack_cwd_hook.sh</w:t>
            </w:r>
          </w:p>
        </w:tc>
        <w:tc>
          <w:tcPr/>
          <w:p>
            <w:pPr>
              <w:pStyle w:val="Compact"/>
            </w:pPr>
            <w:r>
              <w:t xml:space="preserve">Thin toolkit adapter: prints the alias's bound worktree AND fires a best-effort, non-fatal, fully-detached</w:t>
            </w:r>
            <w:r>
              <w:t xml:space="preserve"> </w:t>
            </w:r>
            <w:r>
              <w:rPr>
                <w:rStyle w:val="VerbatimChar"/>
              </w:rPr>
              <w:t xml:space="preserve">orchestrator bind</w:t>
            </w:r>
            <w:r>
              <w:t xml:space="preserve"> </w:t>
            </w:r>
            <w:r>
              <w:t xml:space="preserve">(bind-on-start, §11.4.177), fallback monitor, AND constitution auto-sync for the resolved track (never for the conductor).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multitrack_constitution_sync.sh</w:t>
            </w:r>
          </w:p>
        </w:tc>
        <w:tc>
          <w:tcPr/>
          <w:p>
            <w:pPr>
              <w:pStyle w:val="Compact"/>
            </w:pPr>
            <w:r>
              <w:t xml:space="preserve">§11.4.35 constitution auto-sync: on every track activation, ancestor-guarded</w:t>
            </w:r>
            <w:r>
              <w:t xml:space="preserve"> </w:t>
            </w:r>
            <w:r>
              <w:rPr>
                <w:b/>
                <w:bCs/>
              </w:rPr>
              <w:t xml:space="preserve">fast-forward-only</w:t>
            </w:r>
            <w:r>
              <w:t xml:space="preserve"> </w:t>
            </w:r>
            <w:r>
              <w:t xml:space="preserve">advance of the activated worktree's</w:t>
            </w:r>
            <w:r>
              <w:t xml:space="preserve"> </w:t>
            </w:r>
            <w:r>
              <w:rPr>
                <w:rStyle w:val="VerbatimChar"/>
              </w:rPr>
              <w:t xml:space="preserve">constitution/</w:t>
            </w:r>
            <w:r>
              <w:t xml:space="preserve"> </w:t>
            </w:r>
            <w:r>
              <w:t xml:space="preserve">submodule to latest</w:t>
            </w:r>
            <w:r>
              <w:t xml:space="preserve"> </w:t>
            </w:r>
            <w:r>
              <w:rPr>
                <w:rStyle w:val="VerbatimChar"/>
              </w:rPr>
              <w:t xml:space="preserve">&lt;remote&gt;/main</w:t>
            </w:r>
            <w:r>
              <w:t xml:space="preserve"> </w:t>
            </w:r>
            <w:r>
              <w:t xml:space="preserve">(WIP-preserving, never force/reset/rewind; never</w:t>
            </w:r>
            <w:r>
              <w:t xml:space="preserve"> </w:t>
            </w:r>
            <w:r>
              <w:rPr>
                <w:rStyle w:val="VerbatimChar"/>
              </w:rPr>
              <w:t xml:space="preserve">git submodule update</w:t>
            </w:r>
            <w:r>
              <w:t xml:space="preserve">). Keeps the constitution "always up to date with main, Everywhere!"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multitrack_alias_orchestrator.sh</w:t>
            </w:r>
          </w:p>
        </w:tc>
        <w:tc>
          <w:tcPr/>
          <w:p>
            <w:pPr>
              <w:pStyle w:val="Compact"/>
            </w:pPr>
            <w:r>
              <w:t xml:space="preserve">Alias↔track bind / fallback / cooldown lease.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multitrack_build.sh</w:t>
            </w:r>
          </w:p>
        </w:tc>
        <w:tc>
          <w:tcPr/>
          <w:p>
            <w:pPr>
              <w:pStyle w:val="Compact"/>
            </w:pPr>
            <w:r>
              <w:t xml:space="preserve">Single-builder FIFO rebuild queue.</w:t>
            </w:r>
          </w:p>
        </w:tc>
      </w:tr>
    </w:tbl>
    <w:p>
      <w:pPr>
        <w:pStyle w:val="BodyText"/>
      </w:pPr>
      <w:r>
        <w:t xml:space="preserve">The consumer supplies its per-host config file (the ONLY place project strings</w:t>
      </w:r>
      <w:r>
        <w:t xml:space="preserve"> </w:t>
      </w:r>
      <w:r>
        <w:t xml:space="preserve">live): track→mount paths, project directory name, device serials + capabilities,</w:t>
      </w:r>
      <w:r>
        <w:t xml:space="preserve"> </w:t>
      </w:r>
      <w:r>
        <w:t xml:space="preserve">the alias↔account map, priority/feature list. In the reference consumer that file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config/multitrack/&lt;hostname&gt;.yaml</w:t>
      </w:r>
      <w:r>
        <w:t xml:space="preserve">.</w:t>
      </w:r>
    </w:p>
    <w:bookmarkEnd w:id="9"/>
    <w:bookmarkStart w:id="13" w:name="X5f4bc59a9e1655db595f39911bb030f4455025d"/>
    <w:p>
      <w:pPr>
        <w:pStyle w:val="Heading2"/>
      </w:pPr>
      <w:r>
        <w:t xml:space="preserve">Config contract — how a generic script finds project config</w:t>
      </w:r>
    </w:p>
    <w:p>
      <w:pPr>
        <w:pStyle w:val="FirstParagraph"/>
      </w:pPr>
      <w:r>
        <w:t xml:space="preserve">A generic script self-locates BOTH roots with zero hardcoding: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Constitution root</w:t>
      </w:r>
      <w:r>
        <w:t xml:space="preserve"> </w:t>
      </w:r>
      <w:r>
        <w:t xml:space="preserve">— via</w:t>
      </w:r>
      <w:r>
        <w:t xml:space="preserve"> </w:t>
      </w:r>
      <w:r>
        <w:rPr>
          <w:rStyle w:val="VerbatimChar"/>
        </w:rPr>
        <w:t xml:space="preserve">constitution/find_constitution.sh</w:t>
      </w:r>
      <w:r>
        <w:t xml:space="preserve"> </w:t>
      </w:r>
      <w:r>
        <w:t xml:space="preserve">(honors an</w:t>
      </w:r>
      <w:r>
        <w:t xml:space="preserve"> </w:t>
      </w:r>
      <w:r>
        <w:t xml:space="preserve">explicit</w:t>
      </w:r>
      <w:r>
        <w:t xml:space="preserve"> </w:t>
      </w:r>
      <w:r>
        <w:rPr>
          <w:rStyle w:val="VerbatimChar"/>
        </w:rPr>
        <w:t xml:space="preserve">CONSTITUTION_DIR</w:t>
      </w:r>
      <w:r>
        <w:t xml:space="preserve"> </w:t>
      </w:r>
      <w:r>
        <w:t xml:space="preserve">override, else walks up for</w:t>
      </w:r>
      <w:r>
        <w:t xml:space="preserve"> </w:t>
      </w:r>
      <w:r>
        <w:rPr>
          <w:rStyle w:val="VerbatimChar"/>
        </w:rPr>
        <w:t xml:space="preserve">constitution/Constitution.md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submodules/constitution/Constitution.md</w:t>
      </w:r>
      <w:r>
        <w:t xml:space="preserve">,</w:t>
      </w:r>
      <w:r>
        <w:t xml:space="preserve"> </w:t>
      </w:r>
      <w:r>
        <w:t xml:space="preserve">else follows the git superproject pointer). These scripts do not need it at</w:t>
      </w:r>
      <w:r>
        <w:t xml:space="preserve"> </w:t>
      </w:r>
      <w:r>
        <w:t xml:space="preserve">runtime (they are self-contained), but it is the canonical self-location</w:t>
      </w:r>
      <w:r>
        <w:t xml:space="preserve"> </w:t>
      </w:r>
      <w:r>
        <w:t xml:space="preserve">primitive when a caller needs the constitution root.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Project/repo root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MT_REPO_ROOT</w:t>
      </w:r>
      <w:r>
        <w:t xml:space="preserve"> </w:t>
      </w:r>
      <w:r>
        <w:t xml:space="preserve">(explicit override) else the script's</w:t>
      </w:r>
      <w:r>
        <w:t xml:space="preserve"> </w:t>
      </w:r>
      <w:r>
        <w:rPr>
          <w:rStyle w:val="VerbatimChar"/>
        </w:rPr>
        <w:t xml:space="preserve">../..</w:t>
      </w:r>
      <w:r>
        <w:t xml:space="preserve">.</w:t>
      </w:r>
      <w:r>
        <w:t xml:space="preserve"> </w:t>
      </w:r>
      <w:r>
        <w:rPr>
          <w:b/>
          <w:bCs/>
        </w:rPr>
        <w:t xml:space="preserve">Because these scripts live at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constitution/scripts/multitrack/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b/>
          <w:bCs/>
        </w:rPr>
        <w:t xml:space="preserve">their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../..</w:t>
      </w:r>
      <w:r>
        <w:rPr>
          <w:b/>
          <w:bCs/>
        </w:rPr>
        <w:t xml:space="preserve"> </w:t>
      </w:r>
      <w:r>
        <w:rPr>
          <w:b/>
          <w:bCs/>
        </w:rPr>
        <w:t xml:space="preserve">resolves to the constitution submodule, NOT the consuming</w:t>
      </w:r>
      <w:r>
        <w:rPr>
          <w:b/>
          <w:bCs/>
        </w:rPr>
        <w:t xml:space="preserve"> </w:t>
      </w:r>
      <w:r>
        <w:rPr>
          <w:b/>
          <w:bCs/>
        </w:rPr>
        <w:t xml:space="preserve">project.</w:t>
      </w:r>
      <w:r>
        <w:t xml:space="preserve"> </w:t>
      </w:r>
      <w:r>
        <w:t xml:space="preserve">A consumer therefore MUST set</w:t>
      </w:r>
      <w:r>
        <w:t xml:space="preserve"> </w:t>
      </w:r>
      <w:r>
        <w:rPr>
          <w:rStyle w:val="VerbatimChar"/>
        </w:rPr>
        <w:t xml:space="preserve">MT_REPO_ROOT</w:t>
      </w:r>
      <w:r>
        <w:t xml:space="preserve"> </w:t>
      </w:r>
      <w:r>
        <w:t xml:space="preserve">(or the explicit</w:t>
      </w:r>
      <w:r>
        <w:t xml:space="preserve"> </w:t>
      </w:r>
      <w:r>
        <w:rPr>
          <w:rStyle w:val="VerbatimChar"/>
        </w:rPr>
        <w:t xml:space="preserve">MT_CONFIG</w:t>
      </w:r>
      <w:r>
        <w:t xml:space="preserve"> </w:t>
      </w:r>
      <w:r>
        <w:t xml:space="preserve">full path) so config,</w:t>
      </w:r>
      <w:r>
        <w:t xml:space="preserve"> </w:t>
      </w:r>
      <w:r>
        <w:rPr>
          <w:rStyle w:val="VerbatimChar"/>
        </w:rPr>
        <w:t xml:space="preserve">.ws_state</w:t>
      </w:r>
      <w:r>
        <w:t xml:space="preserve">, and the tmp namespace resolve</w:t>
      </w:r>
      <w:r>
        <w:t xml:space="preserve"> </w:t>
      </w:r>
      <w:r>
        <w:t xml:space="preserve">against the project, not the constitution. The reference launcher exports</w:t>
      </w:r>
      <w:r>
        <w:t xml:space="preserve"> </w:t>
      </w:r>
      <w:r>
        <w:rPr>
          <w:rStyle w:val="VerbatimChar"/>
        </w:rPr>
        <w:t xml:space="preserve">MT_REPO_ROOT</w:t>
      </w:r>
      <w:r>
        <w:t xml:space="preserve"> </w:t>
      </w:r>
      <w:r>
        <w:t xml:space="preserve">for every invocation.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Per-host config file</w:t>
      </w:r>
      <w:r>
        <w:t xml:space="preserve"> </w:t>
      </w:r>
      <w:r>
        <w:t xml:space="preserve">— resolved by</w:t>
      </w:r>
      <w:r>
        <w:t xml:space="preserve"> </w:t>
      </w:r>
      <w:r>
        <w:rPr>
          <w:rStyle w:val="VerbatimChar"/>
        </w:rPr>
        <w:t xml:space="preserve">multitrack_config.sh</w:t>
      </w:r>
      <w:r>
        <w:t xml:space="preserve"> </w:t>
      </w:r>
      <w:r>
        <w:t xml:space="preserve">as:</w:t>
      </w:r>
    </w:p>
    <w:p>
      <w:pPr>
        <w:pStyle w:val="Compact"/>
        <w:numPr>
          <w:ilvl w:val="1"/>
          <w:numId w:val="1002"/>
        </w:numPr>
      </w:pPr>
      <w:r>
        <w:rPr>
          <w:rStyle w:val="VerbatimChar"/>
        </w:rPr>
        <w:t xml:space="preserve">MT_CONFIG</w:t>
      </w:r>
      <w:r>
        <w:t xml:space="preserve"> </w:t>
      </w:r>
      <w:r>
        <w:t xml:space="preserve">— explicit full path to a config file (wins), else</w:t>
      </w:r>
    </w:p>
    <w:p>
      <w:pPr>
        <w:pStyle w:val="Compact"/>
        <w:numPr>
          <w:ilvl w:val="1"/>
          <w:numId w:val="1002"/>
        </w:numPr>
      </w:pPr>
      <w:r>
        <w:rPr>
          <w:rStyle w:val="VerbatimChar"/>
        </w:rPr>
        <w:t xml:space="preserve">$MT_CONFIG_DIR/&lt;host&gt;.yaml</w:t>
      </w:r>
      <w:r>
        <w:t xml:space="preserve"> </w:t>
      </w:r>
      <w:r>
        <w:t xml:space="preserve">— where</w:t>
      </w:r>
      <w:r>
        <w:t xml:space="preserve"> </w:t>
      </w:r>
      <w:r>
        <w:rPr>
          <w:rStyle w:val="VerbatimChar"/>
        </w:rPr>
        <w:t xml:space="preserve">MT_CONFIG_DIR</w:t>
      </w:r>
      <w:r>
        <w:t xml:space="preserve"> </w:t>
      </w:r>
      <w:r>
        <w:t xml:space="preserve">defaults to</w:t>
      </w:r>
      <w:r>
        <w:t xml:space="preserve"> </w:t>
      </w:r>
      <w:r>
        <w:rPr>
          <w:rStyle w:val="VerbatimChar"/>
        </w:rPr>
        <w:t xml:space="preserve">$(mt_repo_root)/config/multitrack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&lt;host&gt;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MT_HOST</w:t>
      </w:r>
      <w:r>
        <w:t xml:space="preserve"> </w:t>
      </w:r>
      <w:r>
        <w:t xml:space="preserve">else the</w:t>
      </w:r>
      <w:r>
        <w:t xml:space="preserve"> </w:t>
      </w:r>
      <w:r>
        <w:t xml:space="preserve">system hostname (</w:t>
      </w:r>
      <w:r>
        <w:rPr>
          <w:rStyle w:val="VerbatimChar"/>
        </w:rPr>
        <w:t xml:space="preserve">/etc/hostname</w:t>
      </w:r>
      <w:r>
        <w:t xml:space="preserve">, else the first 16 of the machine-id).</w:t>
      </w:r>
      <w:r>
        <w:t xml:space="preserve"> </w:t>
      </w:r>
      <w:r>
        <w:t xml:space="preserve">An unreadable</w:t>
      </w:r>
      <w:r>
        <w:t xml:space="preserve"> </w:t>
      </w:r>
      <w:r>
        <w:rPr>
          <w:rStyle w:val="VerbatimChar"/>
        </w:rPr>
        <w:t xml:space="preserve">&lt;hostname&gt;.yaml</w:t>
      </w:r>
      <w:r>
        <w:t xml:space="preserve"> </w:t>
      </w:r>
      <w:r>
        <w:t xml:space="preserve">falls back to</w:t>
      </w:r>
      <w:r>
        <w:t xml:space="preserve"> </w:t>
      </w:r>
      <w:r>
        <w:rPr>
          <w:rStyle w:val="VerbatimChar"/>
        </w:rPr>
        <w:t xml:space="preserve">&lt;machine-id-16&gt;.yaml</w:t>
      </w:r>
      <w:r>
        <w:t xml:space="preserve">.</w:t>
      </w:r>
    </w:p>
    <w:p>
      <w:pPr>
        <w:pStyle w:val="FirstParagraph"/>
      </w:pPr>
      <w:r>
        <w:t xml:space="preserve">Schema:</w:t>
      </w:r>
      <w:r>
        <w:t xml:space="preserve"> </w:t>
      </w:r>
      <w:r>
        <w:rPr>
          <w:rStyle w:val="VerbatimChar"/>
        </w:rPr>
        <w:t xml:space="preserve">schema_version: 1</w:t>
      </w:r>
      <w:r>
        <w:t xml:space="preserve">,</w:t>
      </w:r>
      <w:r>
        <w:t xml:space="preserve"> </w:t>
      </w:r>
      <w:r>
        <w:rPr>
          <w:b/>
          <w:bCs/>
        </w:rPr>
        <w:t xml:space="preserve">one file per host</w:t>
      </w:r>
      <w:r>
        <w:t xml:space="preserve">.</w:t>
      </w:r>
    </w:p>
    <w:bookmarkStart w:id="10" w:name="Xfe755404ab4f5700cce136c2119bec555b0e6c1"/>
    <w:p>
      <w:pPr>
        <w:pStyle w:val="Heading3"/>
      </w:pPr>
      <w:r>
        <w:t xml:space="preserve">The</w:t>
      </w:r>
      <w:r>
        <w:t xml:space="preserve"> </w:t>
      </w:r>
      <w:r>
        <w:rPr>
          <w:rStyle w:val="VerbatimChar"/>
        </w:rPr>
        <w:t xml:space="preserve">MT_*</w:t>
      </w:r>
      <w:r>
        <w:t xml:space="preserve"> </w:t>
      </w:r>
      <w:r>
        <w:t xml:space="preserve">environment contract (retained verbatim, no renames)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Env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  <w:tc>
          <w:tcPr/>
          <w:p>
            <w:pPr>
              <w:pStyle w:val="Compact"/>
            </w:pPr>
            <w:r>
              <w:t xml:space="preserve">Default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MT_REPO_ROOT</w:t>
            </w:r>
          </w:p>
        </w:tc>
        <w:tc>
          <w:tcPr/>
          <w:p>
            <w:pPr>
              <w:pStyle w:val="Compact"/>
            </w:pPr>
            <w:r>
              <w:t xml:space="preserve">project/repo root</w:t>
            </w:r>
          </w:p>
        </w:tc>
        <w:tc>
          <w:tcPr/>
          <w:p>
            <w:pPr>
              <w:pStyle w:val="Compact"/>
            </w:pPr>
            <w:r>
              <w:t xml:space="preserve">script</w:t>
            </w:r>
            <w:r>
              <w:t xml:space="preserve"> </w:t>
            </w:r>
            <w:r>
              <w:rPr>
                <w:rStyle w:val="VerbatimChar"/>
              </w:rPr>
              <w:t xml:space="preserve">../..</w:t>
            </w:r>
            <w:r>
              <w:t xml:space="preserve"> </w:t>
            </w:r>
            <w:r>
              <w:t xml:space="preserve">(⇒ set this from the constitution location)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MT_CONFIG</w:t>
            </w:r>
          </w:p>
        </w:tc>
        <w:tc>
          <w:tcPr/>
          <w:p>
            <w:pPr>
              <w:pStyle w:val="Compact"/>
            </w:pPr>
            <w:r>
              <w:t xml:space="preserve">explicit config-file path (overrides host resolution)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MT_CONFIG_DIR</w:t>
            </w:r>
          </w:p>
        </w:tc>
        <w:tc>
          <w:tcPr/>
          <w:p>
            <w:pPr>
              <w:pStyle w:val="Compact"/>
            </w:pPr>
            <w:r>
              <w:t xml:space="preserve">per-host config directory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$(mt_repo_root)/config/multitrack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MT_HOST</w:t>
            </w:r>
          </w:p>
        </w:tc>
        <w:tc>
          <w:tcPr/>
          <w:p>
            <w:pPr>
              <w:pStyle w:val="Compact"/>
            </w:pPr>
            <w:r>
              <w:t xml:space="preserve">host key for</w:t>
            </w:r>
            <w:r>
              <w:t xml:space="preserve"> </w:t>
            </w:r>
            <w:r>
              <w:rPr>
                <w:rStyle w:val="VerbatimChar"/>
              </w:rPr>
              <w:t xml:space="preserve">&lt;host&gt;.yaml</w:t>
            </w:r>
          </w:p>
        </w:tc>
        <w:tc>
          <w:tcPr/>
          <w:p>
            <w:pPr>
              <w:pStyle w:val="Compact"/>
            </w:pPr>
            <w:r>
              <w:t xml:space="preserve">system hostname → machine-id-16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MT_ALIAS_DIR</w:t>
            </w:r>
          </w:p>
        </w:tc>
        <w:tc>
          <w:tcPr/>
          <w:p>
            <w:pPr>
              <w:pStyle w:val="Compact"/>
            </w:pPr>
            <w:r>
              <w:t xml:space="preserve">orchestrator runtime dir (bindings/cooldowns/events)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${XDG_RUNTIME_DIR:-/tmp}/$(basename "$MT_REPO_ROOT")/multitrack/aliasorch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MT_LOCK_DIR</w:t>
            </w:r>
          </w:p>
        </w:tc>
        <w:tc>
          <w:tcPr/>
          <w:p>
            <w:pPr>
              <w:pStyle w:val="Compact"/>
            </w:pPr>
            <w:r>
              <w:t xml:space="preserve">device-lock runtime dir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${XDG_RUNTIME_DIR:-/tmp}/$(basename "$MT_REPO_ROOT")/multitrack/devicelock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MT_REGISTRY_LOCK</w:t>
            </w:r>
          </w:p>
        </w:tc>
        <w:tc>
          <w:tcPr/>
          <w:p>
            <w:pPr>
              <w:pStyle w:val="Compact"/>
            </w:pPr>
            <w:r>
              <w:t xml:space="preserve">streams-registry flock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${XDG_RUNTIME_DIR:-/tmp}/$(basename "$MT_REPO_ROOT")/multitrack/registry.lock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MT_STREAMS_TSV</w:t>
            </w:r>
          </w:p>
        </w:tc>
        <w:tc>
          <w:tcPr/>
          <w:p>
            <w:pPr>
              <w:pStyle w:val="Compact"/>
            </w:pPr>
            <w:r>
              <w:t xml:space="preserve">streams registry TSV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$MT_REPO_ROOT/.ws_state/streams.tsv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MT_WS_STATE</w:t>
            </w:r>
          </w:p>
        </w:tc>
        <w:tc>
          <w:tcPr/>
          <w:p>
            <w:pPr>
              <w:pStyle w:val="Compact"/>
            </w:pPr>
            <w:r>
              <w:t xml:space="preserve">per-repo state dir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$MT_REPO_ROOT/.ws_state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MT_WORKTREE_SUBDIR</w:t>
            </w:r>
          </w:p>
        </w:tc>
        <w:tc>
          <w:tcPr/>
          <w:p>
            <w:pPr>
              <w:pStyle w:val="Compact"/>
            </w:pPr>
            <w:r>
              <w:t xml:space="preserve">worktree subdir under a track mount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$(basename "$MT_REPO_ROOT")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MT_ALIAS_ROSTER</w:t>
            </w:r>
          </w:p>
        </w:tc>
        <w:tc>
          <w:tcPr/>
          <w:p>
            <w:pPr>
              <w:pStyle w:val="Compact"/>
            </w:pPr>
            <w:r>
              <w:t xml:space="preserve">alias roster override (</w:t>
            </w:r>
            <w:r>
              <w:rPr>
                <w:rStyle w:val="VerbatimChar"/>
              </w:rPr>
              <w:t xml:space="preserve">name:kind,...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config</w:t>
            </w:r>
            <w:r>
              <w:t xml:space="preserve"> </w:t>
            </w:r>
            <w:r>
              <w:rPr>
                <w:rStyle w:val="VerbatimChar"/>
              </w:rPr>
              <w:t xml:space="preserve">aliases:</w:t>
            </w:r>
            <w:r>
              <w:t xml:space="preserve"> </w:t>
            </w:r>
            <w:r>
              <w:t xml:space="preserve">block, else built-in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MT_BUILD_COMMAND</w:t>
            </w:r>
          </w:p>
        </w:tc>
        <w:tc>
          <w:tcPr/>
          <w:p>
            <w:pPr>
              <w:pStyle w:val="Compact"/>
            </w:pPr>
            <w:r>
              <w:t xml:space="preserve">build command string (the</w:t>
            </w:r>
            <w:r>
              <w:t xml:space="preserve"> </w:t>
            </w:r>
            <w:r>
              <w:rPr>
                <w:rStyle w:val="VerbatimChar"/>
              </w:rPr>
              <w:t xml:space="preserve">build.command</w:t>
            </w:r>
            <w:r>
              <w:t xml:space="preserve"> </w:t>
            </w:r>
            <w:r>
              <w:t xml:space="preserve">config key)</w:t>
            </w:r>
          </w:p>
        </w:tc>
        <w:tc>
          <w:tcPr/>
          <w:p>
            <w:pPr>
              <w:pStyle w:val="Compact"/>
            </w:pPr>
            <w:r>
              <w:t xml:space="preserve">auto-detect</w:t>
            </w:r>
            <w:r>
              <w:t xml:space="preserve"> </w:t>
            </w:r>
            <w:r>
              <w:rPr>
                <w:rStyle w:val="VerbatimChar"/>
              </w:rPr>
              <w:t xml:space="preserve">scripts/build_maxres.sh</w:t>
            </w:r>
            <w:r>
              <w:t xml:space="preserve"> </w:t>
            </w:r>
            <w:r>
              <w:t xml:space="preserve">else</w:t>
            </w:r>
            <w:r>
              <w:t xml:space="preserve"> </w:t>
            </w:r>
            <w:r>
              <w:rPr>
                <w:rStyle w:val="VerbatimChar"/>
              </w:rPr>
              <w:t xml:space="preserve">scripts/build.sh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MT_BUILD_MIN_FREE_GB</w:t>
            </w:r>
          </w:p>
        </w:tc>
        <w:tc>
          <w:tcPr/>
          <w:p>
            <w:pPr>
              <w:pStyle w:val="Compact"/>
            </w:pPr>
            <w:r>
              <w:t xml:space="preserve">pre-build free-space floor (the</w:t>
            </w:r>
            <w:r>
              <w:t xml:space="preserve"> </w:t>
            </w:r>
            <w:r>
              <w:rPr>
                <w:rStyle w:val="VerbatimChar"/>
              </w:rPr>
              <w:t xml:space="preserve">build.min_free_gb</w:t>
            </w:r>
            <w:r>
              <w:t xml:space="preserve"> </w:t>
            </w:r>
            <w:r>
              <w:t xml:space="preserve">config key)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158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MT_LOCK_WAIT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MT_DEFAULT_TTL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MT_CLAIM_TTL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MT_ALIAS_TTL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MT_COOLDOWN</w:t>
            </w:r>
          </w:p>
        </w:tc>
        <w:tc>
          <w:tcPr/>
          <w:p>
            <w:pPr>
              <w:pStyle w:val="Compact"/>
            </w:pPr>
            <w:r>
              <w:t xml:space="preserve">flock/lease timers</w:t>
            </w:r>
          </w:p>
        </w:tc>
        <w:tc>
          <w:tcPr/>
          <w:p>
            <w:pPr>
              <w:pStyle w:val="Compact"/>
            </w:pPr>
            <w:r>
              <w:t xml:space="preserve">see each script header</w:t>
            </w:r>
          </w:p>
        </w:tc>
      </w:tr>
    </w:tbl>
    <w:p>
      <w:pPr>
        <w:pStyle w:val="BodyText"/>
      </w:pPr>
      <w:r>
        <w:rPr>
          <w:b/>
          <w:bCs/>
        </w:rPr>
        <w:t xml:space="preserve">No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MT_*</w:t>
      </w:r>
      <w:r>
        <w:rPr>
          <w:b/>
          <w:bCs/>
        </w:rPr>
        <w:t xml:space="preserve"> </w:t>
      </w:r>
      <w:r>
        <w:rPr>
          <w:b/>
          <w:bCs/>
        </w:rPr>
        <w:t xml:space="preserve">var was renamed</w:t>
      </w:r>
      <w:r>
        <w:t xml:space="preserve"> </w:t>
      </w:r>
      <w:r>
        <w:t xml:space="preserve">when this engine was lifted from the reference</w:t>
      </w:r>
      <w:r>
        <w:t xml:space="preserve"> </w:t>
      </w:r>
      <w:r>
        <w:t xml:space="preserve">consumer — a rename would break the live host and every paired test (§11.4.6).</w:t>
      </w:r>
    </w:p>
    <w:bookmarkEnd w:id="10"/>
    <w:bookmarkStart w:id="11" w:name="X01e3c8ba6df752310849fb4ad967707b461a6ac"/>
    <w:p>
      <w:pPr>
        <w:pStyle w:val="Heading3"/>
      </w:pPr>
      <w:r>
        <w:t xml:space="preserve">Consumer config keys (in</w:t>
      </w:r>
      <w:r>
        <w:t xml:space="preserve"> </w:t>
      </w:r>
      <w:r>
        <w:rPr>
          <w:rStyle w:val="VerbatimChar"/>
        </w:rPr>
        <w:t xml:space="preserve">config/multitrack/&lt;host&gt;.yaml</w:t>
      </w:r>
      <w:r>
        <w:t xml:space="preserve">)</w:t>
      </w:r>
    </w:p>
    <w:p>
      <w:pPr>
        <w:pStyle w:val="FirstParagraph"/>
      </w:pPr>
      <w:r>
        <w:t xml:space="preserve">Beyond</w:t>
      </w:r>
      <w:r>
        <w:t xml:space="preserve"> </w:t>
      </w:r>
      <w:r>
        <w:rPr>
          <w:rStyle w:val="VerbatimChar"/>
        </w:rPr>
        <w:t xml:space="preserve">host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protected_drives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tracks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device_pool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lease_policy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aliases</w:t>
      </w:r>
      <w:r>
        <w:t xml:space="preserve">, the config carries two OPTIONAL keys read by the engine. Both are</w:t>
      </w:r>
      <w:r>
        <w:t xml:space="preserve"> </w:t>
      </w:r>
      <w:r>
        <w:rPr>
          <w:b/>
          <w:bCs/>
        </w:rPr>
        <w:t xml:space="preserve">consumer data</w:t>
      </w:r>
      <w:r>
        <w:t xml:space="preserve"> </w:t>
      </w:r>
      <w:r>
        <w:t xml:space="preserve">(§11.4.28(B)) — the engine never hardcodes their values.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Key</w:t>
            </w:r>
          </w:p>
        </w:tc>
        <w:tc>
          <w:tcPr/>
          <w:p>
            <w:pPr>
              <w:pStyle w:val="Compact"/>
            </w:pPr>
            <w:r>
              <w:t xml:space="preserve">Shape</w:t>
            </w:r>
          </w:p>
        </w:tc>
        <w:tc>
          <w:tcPr/>
          <w:p>
            <w:pPr>
              <w:pStyle w:val="Compact"/>
            </w:pPr>
            <w:r>
              <w:t xml:space="preserve">Read by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conductor:</w:t>
            </w:r>
          </w:p>
        </w:tc>
        <w:tc>
          <w:tcPr/>
          <w:p>
            <w:pPr>
              <w:pStyle w:val="Compact"/>
            </w:pPr>
            <w:r>
              <w:t xml:space="preserve">top-level scalar (alias name)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mt_config_conductor</w:t>
            </w:r>
            <w:r>
              <w:t xml:space="preserve"> </w:t>
            </w:r>
            <w:r>
              <w:t xml:space="preserve">→ the resolver</w:t>
            </w:r>
          </w:p>
        </w:tc>
        <w:tc>
          <w:tcPr/>
          <w:p>
            <w:pPr>
              <w:pStyle w:val="Compact"/>
            </w:pPr>
            <w:r>
              <w:t xml:space="preserve">§11.4.177 auto-conductor. The named alias is NEVER worktree-bound — its session stays on the shared</w:t>
            </w:r>
            <w:r>
              <w:t xml:space="preserve"> </w:t>
            </w:r>
            <w:r>
              <w:rPr>
                <w:rStyle w:val="VerbatimChar"/>
              </w:rPr>
              <w:t xml:space="preserve">/home</w:t>
            </w:r>
            <w:r>
              <w:t xml:space="preserve"> </w:t>
            </w:r>
            <w:r>
              <w:t xml:space="preserve">checkout (</w:t>
            </w:r>
            <w:r>
              <w:rPr>
                <w:rStyle w:val="VerbatimChar"/>
              </w:rPr>
              <w:t xml:space="preserve">resolve</w:t>
            </w:r>
            <w:r>
              <w:t xml:space="preserve"> </w:t>
            </w:r>
            <w:r>
              <w:t xml:space="preserve">prints nothing / exit 0, and bind-on-start never binds it).</w:t>
            </w:r>
            <w:r>
              <w:t xml:space="preserve"> </w:t>
            </w:r>
            <w:r>
              <w:rPr>
                <w:b/>
                <w:bCs/>
              </w:rPr>
              <w:t xml:space="preserve">Empty string (default) ⇒ no alias is special-cased</w:t>
            </w:r>
            <w:r>
              <w:t xml:space="preserve"> </w:t>
            </w:r>
            <w:r>
              <w:t xml:space="preserve">(the</w:t>
            </w:r>
            <w:r>
              <w:t xml:space="preserve"> </w:t>
            </w:r>
            <w:r>
              <w:rPr>
                <w:rStyle w:val="VerbatimChar"/>
              </w:rPr>
              <w:t xml:space="preserve">/home</w:t>
            </w:r>
            <w:r>
              <w:t xml:space="preserve"> </w:t>
            </w:r>
            <w:r>
              <w:t xml:space="preserve">session is simply whichever session is unbound). Consumer-overridable (e.g.</w:t>
            </w:r>
            <w:r>
              <w:t xml:space="preserve"> </w:t>
            </w:r>
            <w:r>
              <w:rPr>
                <w:rStyle w:val="VerbatimChar"/>
              </w:rPr>
              <w:t xml:space="preserve">conductor: claude3</w:t>
            </w:r>
            <w:r>
              <w:t xml:space="preserve">, or a provider alias to dedicate a conductor account).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fallback.signatures:</w:t>
            </w:r>
          </w:p>
        </w:tc>
        <w:tc>
          <w:tcPr/>
          <w:p>
            <w:pPr>
              <w:pStyle w:val="Compact"/>
            </w:pPr>
            <w:r>
              <w:t xml:space="preserve">block-style list under a top-level</w:t>
            </w:r>
            <w:r>
              <w:t xml:space="preserve"> </w:t>
            </w:r>
            <w:r>
              <w:rPr>
                <w:rStyle w:val="VerbatimChar"/>
              </w:rPr>
              <w:t xml:space="preserve">fallback: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mt_config_fallback_signatures</w:t>
            </w:r>
            <w:r>
              <w:t xml:space="preserve"> </w:t>
            </w:r>
            <w:r>
              <w:t xml:space="preserve">→ the (PWU-4) rate-limit monitor</w:t>
            </w:r>
          </w:p>
        </w:tc>
        <w:tc>
          <w:tcPr/>
          <w:p>
            <w:pPr>
              <w:pStyle w:val="Compact"/>
            </w:pPr>
            <w:r>
              <w:t xml:space="preserve">§11.4.177 auto-fallback. The rate-limit transcript signatures the monitor matches to detect a usage/quota limit and trigger</w:t>
            </w:r>
            <w:r>
              <w:t xml:space="preserve"> </w:t>
            </w:r>
            <w:r>
              <w:rPr>
                <w:rStyle w:val="VerbatimChar"/>
              </w:rPr>
              <w:t xml:space="preserve">orchestrator fallback</w:t>
            </w:r>
            <w:r>
              <w:t xml:space="preserve">. Surrounding single/double quotes are stripped (values that themselves contain</w:t>
            </w:r>
            <w:r>
              <w:t xml:space="preserve"> </w:t>
            </w:r>
            <w:r>
              <w:rPr>
                <w:rStyle w:val="VerbatimChar"/>
              </w:rPr>
              <w:t xml:space="preserve">"</w:t>
            </w:r>
            <w:r>
              <w:t xml:space="preserve"> </w:t>
            </w:r>
            <w:r>
              <w:t xml:space="preserve">are single-quoted in YAML).</w:t>
            </w:r>
            <w:r>
              <w:t xml:space="preserve"> </w:t>
            </w:r>
            <w:r>
              <w:rPr>
                <w:b/>
                <w:bCs/>
              </w:rPr>
              <w:t xml:space="preserve">Consumer-overridable</w:t>
            </w:r>
            <w:r>
              <w:t xml:space="preserve"> </w:t>
            </w:r>
            <w:r>
              <w:t xml:space="preserve">— a future rate-limit wording change is a one-line pin here, not a code change. Empty/absent ⇒ no signatures (the monitor decides its own default).</w:t>
            </w:r>
          </w:p>
        </w:tc>
      </w:tr>
    </w:tbl>
    <w:p>
      <w:pPr>
        <w:pStyle w:val="BodyText"/>
      </w:pPr>
      <w:r>
        <w:t xml:space="preserve">Reference-consumer seed (both keys are consumer data, so they live in the</w:t>
      </w:r>
      <w:r>
        <w:t xml:space="preserve"> </w:t>
      </w:r>
      <w:r>
        <w:t xml:space="preserve">project config, never in this engine):</w:t>
      </w:r>
    </w:p>
    <w:p>
      <w:pPr>
        <w:pStyle w:val="SourceCode"/>
      </w:pPr>
      <w:r>
        <w:rPr>
          <w:rStyle w:val="FunctionTok"/>
        </w:rPr>
        <w:t xml:space="preserve">conductor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""</w:t>
      </w:r>
      <w:r>
        <w:rPr>
          <w:rStyle w:val="CommentTok"/>
        </w:rPr>
        <w:t xml:space="preserve">            # empty ⇒ /home session is conductor</w:t>
      </w:r>
      <w:r>
        <w:br/>
      </w:r>
      <w:r>
        <w:rPr>
          <w:rStyle w:val="FunctionTok"/>
        </w:rPr>
        <w:t xml:space="preserve">fallback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signatures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'"apiErrorStatus":429'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'"isApiErrorMessage":true'</w:t>
      </w:r>
    </w:p>
    <w:bookmarkEnd w:id="11"/>
    <w:bookmarkStart w:id="12" w:name="runtime-namespace-derivation"/>
    <w:p>
      <w:pPr>
        <w:pStyle w:val="Heading3"/>
      </w:pPr>
      <w:r>
        <w:t xml:space="preserve">Runtime namespace derivation</w:t>
      </w:r>
    </w:p>
    <w:p>
      <w:pPr>
        <w:pStyle w:val="FirstParagraph"/>
      </w:pPr>
      <w:r>
        <w:t xml:space="preserve">The tmp runtime dirs (</w:t>
      </w:r>
      <w:r>
        <w:rPr>
          <w:rStyle w:val="VerbatimChar"/>
        </w:rPr>
        <w:t xml:space="preserve">aliasorch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devicelock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registry.lock</w:t>
      </w:r>
      <w:r>
        <w:t xml:space="preserve">) derive their</w:t>
      </w:r>
      <w:r>
        <w:t xml:space="preserve"> </w:t>
      </w:r>
      <w:r>
        <w:t xml:space="preserve">top-level namespace from</w:t>
      </w:r>
      <w:r>
        <w:t xml:space="preserve"> </w:t>
      </w:r>
      <w:r>
        <w:rPr>
          <w:rStyle w:val="VerbatimChar"/>
        </w:rPr>
        <w:t xml:space="preserve">$(basename "$MT_REPO_ROOT")</w:t>
      </w:r>
      <w:r>
        <w:t xml:space="preserve"> </w:t>
      </w:r>
      <w:r>
        <w:t xml:space="preserve">(via</w:t>
      </w:r>
      <w:r>
        <w:t xml:space="preserve"> </w:t>
      </w:r>
      <w:r>
        <w:rPr>
          <w:rStyle w:val="VerbatimChar"/>
        </w:rPr>
        <w:t xml:space="preserve">mt_repo_root</w:t>
      </w:r>
      <w:r>
        <w:t xml:space="preserve">), so a</w:t>
      </w:r>
      <w:r>
        <w:t xml:space="preserve"> </w:t>
      </w:r>
      <w:r>
        <w:t xml:space="preserve">consumer's runtime state is namespaced by its own project directory name — no</w:t>
      </w:r>
      <w:r>
        <w:t xml:space="preserve"> </w:t>
      </w:r>
      <w:r>
        <w:t xml:space="preserve">project literal is baked into the engine.</w:t>
      </w:r>
    </w:p>
    <w:bookmarkEnd w:id="12"/>
    <w:bookmarkEnd w:id="13"/>
    <w:bookmarkStart w:id="14" w:name="quick-start-consumer"/>
    <w:p>
      <w:pPr>
        <w:pStyle w:val="Heading2"/>
      </w:pPr>
      <w:r>
        <w:t xml:space="preserve">Quick start (consumer)</w:t>
      </w:r>
    </w:p>
    <w:p>
      <w:pPr>
        <w:pStyle w:val="SourceCode"/>
      </w:pPr>
      <w:r>
        <w:rPr>
          <w:rStyle w:val="CommentTok"/>
        </w:rPr>
        <w:t xml:space="preserve"># from the project root, with a config/multitrack/&lt;hostname&gt;.yaml present:</w:t>
      </w:r>
      <w:r>
        <w:br/>
      </w:r>
      <w:r>
        <w:rPr>
          <w:rStyle w:val="VariableTok"/>
        </w:rPr>
        <w:t xml:space="preserve">MT_REPO_ROOT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$PWD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bash</w:t>
      </w:r>
      <w:r>
        <w:rPr>
          <w:rStyle w:val="NormalTok"/>
        </w:rPr>
        <w:t xml:space="preserve"> constitution/scripts/multitrack/multitrack_resolve_worktree.sh map</w:t>
      </w:r>
      <w:r>
        <w:br/>
      </w:r>
      <w:r>
        <w:rPr>
          <w:rStyle w:val="CommentTok"/>
        </w:rPr>
        <w:t xml:space="preserve"># or point at an explicit config file:</w:t>
      </w:r>
      <w:r>
        <w:br/>
      </w:r>
      <w:r>
        <w:rPr>
          <w:rStyle w:val="VariableTok"/>
        </w:rPr>
        <w:t xml:space="preserve">MT_CONFIG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config/multitrack/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host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.yaml </w:t>
      </w:r>
      <w:r>
        <w:rPr>
          <w:rStyle w:val="VariableTok"/>
        </w:rPr>
        <w:t xml:space="preserve">MT_REPO_ROOT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$PWD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bash</w:t>
      </w:r>
      <w:r>
        <w:rPr>
          <w:rStyle w:val="NormalTok"/>
        </w:rPr>
        <w:t xml:space="preserve"> constitution/scripts/multitrack/multitrack_resolve_worktree.sh resolve claude1</w:t>
      </w:r>
    </w:p>
    <w:bookmarkEnd w:id="14"/>
    <w:bookmarkStart w:id="15" w:name="Xaf24460550d266c396001604429b22020a0a0ef"/>
    <w:p>
      <w:pPr>
        <w:pStyle w:val="Heading2"/>
      </w:pPr>
      <w:r>
        <w:t xml:space="preserve">Genericization delta vs the reference consumer</w:t>
      </w:r>
    </w:p>
    <w:p>
      <w:pPr>
        <w:pStyle w:val="FirstParagraph"/>
      </w:pPr>
      <w:r>
        <w:t xml:space="preserve">Lifted from the reference project's</w:t>
      </w:r>
      <w:r>
        <w:t xml:space="preserve"> </w:t>
      </w:r>
      <w:r>
        <w:rPr>
          <w:rStyle w:val="VerbatimChar"/>
        </w:rPr>
        <w:t xml:space="preserve">scripts/multitrack/</w:t>
      </w:r>
      <w:r>
        <w:t xml:space="preserve"> </w:t>
      </w:r>
      <w:r>
        <w:t xml:space="preserve">per §11.4.35 with a</w:t>
      </w:r>
      <w:r>
        <w:t xml:space="preserve"> </w:t>
      </w:r>
      <w:r>
        <w:t xml:space="preserve">small, mechanical delta (three executed-code fixes + comment-literal scrub):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Namespace literal</w:t>
      </w:r>
      <w:r>
        <w:t xml:space="preserve"> </w:t>
      </w:r>
      <w:r>
        <w:t xml:space="preserve">— the tmp-namespace defaults in</w:t>
      </w:r>
      <w:r>
        <w:t xml:space="preserve"> </w:t>
      </w:r>
      <w:r>
        <w:rPr>
          <w:rStyle w:val="VerbatimChar"/>
        </w:rPr>
        <w:t xml:space="preserve">multitrack_registry.sh</w:t>
      </w:r>
      <w:r>
        <w:t xml:space="preserve">,</w:t>
      </w:r>
      <w:r>
        <w:t xml:space="preserve"> </w:t>
      </w:r>
      <w:r>
        <w:rPr>
          <w:rStyle w:val="VerbatimChar"/>
        </w:rPr>
        <w:t xml:space="preserve">multitrack_resolve_worktree.sh</w:t>
      </w:r>
      <w:r>
        <w:t xml:space="preserve">,</w:t>
      </w:r>
      <w:r>
        <w:t xml:space="preserve"> </w:t>
      </w:r>
      <w:r>
        <w:rPr>
          <w:rStyle w:val="VerbatimChar"/>
        </w:rPr>
        <w:t xml:space="preserve">multitrack_device_lock.sh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multitrack_alias_orchestrator.sh</w:t>
      </w:r>
      <w:r>
        <w:t xml:space="preserve"> </w:t>
      </w:r>
      <w:r>
        <w:t xml:space="preserve">derive</w:t>
      </w:r>
      <w:r>
        <w:t xml:space="preserve"> </w:t>
      </w:r>
      <w:r>
        <w:t xml:space="preserve">the top-level dir from</w:t>
      </w:r>
      <w:r>
        <w:t xml:space="preserve"> </w:t>
      </w:r>
      <w:r>
        <w:rPr>
          <w:rStyle w:val="VerbatimChar"/>
        </w:rPr>
        <w:t xml:space="preserve">$(basename "$MT_REPO_ROOT")</w:t>
      </w:r>
      <w:r>
        <w:t xml:space="preserve"> </w:t>
      </w:r>
      <w:r>
        <w:t xml:space="preserve">instead of a hardcoded</w:t>
      </w:r>
      <w:r>
        <w:t xml:space="preserve"> </w:t>
      </w:r>
      <w:r>
        <w:t xml:space="preserve">project name (orchestrator + resolve share one runtime dir, so both are</w:t>
      </w:r>
      <w:r>
        <w:t xml:space="preserve"> </w:t>
      </w:r>
      <w:r>
        <w:t xml:space="preserve">fixed in lockstep).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Build command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multitrack_build.sh</w:t>
      </w:r>
      <w:r>
        <w:t xml:space="preserve"> </w:t>
      </w:r>
      <w:r>
        <w:t xml:space="preserve">reads the</w:t>
      </w:r>
      <w:r>
        <w:t xml:space="preserve"> </w:t>
      </w:r>
      <w:r>
        <w:rPr>
          <w:rStyle w:val="VerbatimChar"/>
        </w:rPr>
        <w:t xml:space="preserve">build.command</w:t>
      </w:r>
      <w:r>
        <w:t xml:space="preserve"> </w:t>
      </w:r>
      <w:r>
        <w:t xml:space="preserve">config</w:t>
      </w:r>
      <w:r>
        <w:t xml:space="preserve"> </w:t>
      </w:r>
      <w:r>
        <w:t xml:space="preserve">key via</w:t>
      </w:r>
      <w:r>
        <w:t xml:space="preserve"> </w:t>
      </w:r>
      <w:r>
        <w:rPr>
          <w:rStyle w:val="VerbatimChar"/>
        </w:rPr>
        <w:t xml:space="preserve">MT_BUILD_COMMAND</w:t>
      </w:r>
      <w:r>
        <w:t xml:space="preserve">, falling back to a documented auto-detect default.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Item-id param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multitrack_claim.sh</w:t>
      </w:r>
      <w:r>
        <w:t xml:space="preserve">'s user-facing</w:t>
      </w:r>
      <w:r>
        <w:t xml:space="preserve"> </w:t>
      </w:r>
      <w:r>
        <w:rPr>
          <w:rStyle w:val="VerbatimChar"/>
        </w:rPr>
        <w:t xml:space="preserve">atm-id</w:t>
      </w:r>
      <w:r>
        <w:t xml:space="preserve"> </w:t>
      </w:r>
      <w:r>
        <w:t xml:space="preserve">label is the</w:t>
      </w:r>
      <w:r>
        <w:t xml:space="preserve"> </w:t>
      </w:r>
      <w:r>
        <w:t xml:space="preserve">scheme-agnostic</w:t>
      </w:r>
      <w:r>
        <w:t xml:space="preserve"> </w:t>
      </w:r>
      <w:r>
        <w:rPr>
          <w:rStyle w:val="VerbatimChar"/>
        </w:rPr>
        <w:t xml:space="preserve">item-id</w:t>
      </w:r>
      <w:r>
        <w:t xml:space="preserve"> </w:t>
      </w:r>
      <w:r>
        <w:t xml:space="preserve">(the positional arg accepts any stable id — no</w:t>
      </w:r>
      <w:r>
        <w:t xml:space="preserve"> </w:t>
      </w:r>
      <w:r>
        <w:t xml:space="preserve">named flag existed, so no back-compat alias is needed).</w:t>
      </w:r>
    </w:p>
    <w:p>
      <w:pPr>
        <w:pStyle w:val="FirstParagraph"/>
      </w:pPr>
      <w:r>
        <w:t xml:space="preserve">Consumer-side DATA (</w:t>
      </w:r>
      <w:r>
        <w:rPr>
          <w:rStyle w:val="VerbatimChar"/>
        </w:rPr>
        <w:t xml:space="preserve">config/multitrack/&lt;host&gt;.yaml</w:t>
      </w:r>
      <w:r>
        <w:t xml:space="preserve">, serials, mount paths) stays</w:t>
      </w:r>
      <w:r>
        <w:t xml:space="preserve"> </w:t>
      </w:r>
      <w:r>
        <w:t xml:space="preserve">in the consuming project and is NEVER copied here.</w:t>
      </w:r>
    </w:p>
    <w:bookmarkEnd w:id="15"/>
    <w:bookmarkEnd w:id="1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README</dc:title>
  <dc:creator/>
  <dc:language>en</dc:language>
  <cp:keywords/>
  <dcterms:created xsi:type="dcterms:W3CDTF">2026-07-05T00:05:20Z</dcterms:created>
  <dcterms:modified xsi:type="dcterms:W3CDTF">2026-07-05T00:05:20Z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