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Mirrored Constitution.md §11.4.78 (CodeGraph code-intelligence mandate) into this QWEN.md. Revision 1 created the file per user mandate 2026-05-20 carrying the §11.4.76 + §11.4.77 mirrors.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§11.4.78 mirror</w:t>
            </w:r>
          </w:p>
        </w:tc>
      </w:tr>
      <w:tr>
        <w:tc>
          <w:tcPr/>
          <w:p>
            <w:pPr>
              <w:pStyle w:val="Compact"/>
            </w:pPr>
            <w:r>
              <w:t xml:space="preserve">Fixed summary</w:t>
            </w:r>
          </w:p>
        </w:tc>
        <w:tc>
          <w:tcPr/>
          <w:p>
            <w:pPr>
              <w:pStyle w:val="Compact"/>
            </w:pPr>
            <w:r>
              <w:t xml:space="preserve">§11.4.78 lands in lockstep with the Constitution.md §11.4.78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2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t xml:space="preserve">Captured tests MUST exercise the behavior they claim to verify. PASS-without-execution paths, mock-only tests that don’t round-trip, and skip-by-default integration tests that mask real failures are forbidden. Each test failure in CI MUST imply a real broken feature; each PASS MUST imply the feature actually works for the end user.</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19"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19"/>
    <w:bookmarkStart w:id="21"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1"/>
    <w:bookmarkStart w:id="22"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0">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2"/>
    <w:bookmarkStart w:id="23"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3"/>
    <w:bookmarkEnd w:id="24"/>
    <w:bookmarkStart w:id="28" w:name="companion-documents"/>
    <w:p>
      <w:pPr>
        <w:pStyle w:val="Heading2"/>
      </w:pPr>
      <w:r>
        <w:t xml:space="preserve">Companion documents</w:t>
      </w:r>
    </w:p>
    <w:p>
      <w:pPr>
        <w:pStyle w:val="Compact"/>
        <w:numPr>
          <w:ilvl w:val="0"/>
          <w:numId w:val="1006"/>
        </w:numPr>
      </w:pPr>
      <w:hyperlink r:id="rId20">
        <w:r>
          <w:rPr>
            <w:rStyle w:val="VerbatimChar"/>
          </w:rPr>
          <w:t xml:space="preserve">Constitution.md</w:t>
        </w:r>
      </w:hyperlink>
      <w:r>
        <w:t xml:space="preserve"> </w:t>
      </w:r>
      <w:r>
        <w:t xml:space="preserve">— authoritative universal Constitution. ALWAYS the tie-breaker.</w:t>
      </w:r>
    </w:p>
    <w:p>
      <w:pPr>
        <w:pStyle w:val="Compact"/>
        <w:numPr>
          <w:ilvl w:val="0"/>
          <w:numId w:val="1006"/>
        </w:numPr>
      </w:pPr>
      <w:hyperlink r:id="rId25">
        <w:r>
          <w:rPr>
            <w:rStyle w:val="VerbatimChar"/>
          </w:rPr>
          <w:t xml:space="preserve">CLAUDE.md</w:t>
        </w:r>
      </w:hyperlink>
      <w:r>
        <w:t xml:space="preserve"> </w:t>
      </w:r>
      <w:r>
        <w:t xml:space="preserve">— Claude Code agent’s view of the universal constitution.</w:t>
      </w:r>
    </w:p>
    <w:p>
      <w:pPr>
        <w:pStyle w:val="Compact"/>
        <w:numPr>
          <w:ilvl w:val="0"/>
          <w:numId w:val="1006"/>
        </w:numPr>
      </w:pPr>
      <w:hyperlink r:id="rId26">
        <w:r>
          <w:rPr>
            <w:rStyle w:val="VerbatimChar"/>
          </w:rPr>
          <w:t xml:space="preserve">AGENTS.md</w:t>
        </w:r>
      </w:hyperlink>
      <w:r>
        <w:t xml:space="preserve"> </w:t>
      </w:r>
      <w:r>
        <w:t xml:space="preserve">— OpenCode / Cursor / generic-tooling view.</w:t>
      </w:r>
    </w:p>
    <w:p>
      <w:pPr>
        <w:pStyle w:val="Compact"/>
        <w:numPr>
          <w:ilvl w:val="0"/>
          <w:numId w:val="1006"/>
        </w:numPr>
      </w:pPr>
      <w:hyperlink r:id="rId2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AGENTS.md" TargetMode="External" /><Relationship Type="http://schemas.openxmlformats.org/officeDocument/2006/relationships/hyperlink" Id="rId25" Target="CLAUDE.md" TargetMode="External" /><Relationship Type="http://schemas.openxmlformats.org/officeDocument/2006/relationships/hyperlink" Id="rId20" Target="Constitution.md" TargetMode="External" /><Relationship Type="http://schemas.openxmlformats.org/officeDocument/2006/relationships/hyperlink" Id="rId27" Target="README.md" TargetMode="External" /></Relationships>
</file>

<file path=word/_rels/footnotes.xml.rels><?xml version="1.0" encoding="UTF-8"?><Relationships xmlns="http://schemas.openxmlformats.org/package/2006/relationships"><Relationship Type="http://schemas.openxmlformats.org/officeDocument/2006/relationships/hyperlink" Id="rId26" Target="AGENTS.md" TargetMode="External" /><Relationship Type="http://schemas.openxmlformats.org/officeDocument/2006/relationships/hyperlink" Id="rId25" Target="CLAUDE.md" TargetMode="External" /><Relationship Type="http://schemas.openxmlformats.org/officeDocument/2006/relationships/hyperlink" Id="rId20" Target="Constitution.md" TargetMode="External" /><Relationship Type="http://schemas.openxmlformats.org/officeDocument/2006/relationships/hyperlink" Id="rId27"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2026-05-20T15:01:22Z</dcterms:created>
  <dcterms:modified xsi:type="dcterms:W3CDTF">2026-05-20T15:01:22Z</dcterms:modified>
</cp:coreProperties>
</file>

<file path=docProps/custom.xml><?xml version="1.0" encoding="utf-8"?>
<Properties xmlns="http://schemas.openxmlformats.org/officeDocument/2006/custom-properties" xmlns:vt="http://schemas.openxmlformats.org/officeDocument/2006/docPropsVTypes"/>
</file>