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b06eb5267940e75990f4e64772d799de9da8368"/>
    <w:p>
      <w:pPr>
        <w:pStyle w:val="Heading1"/>
      </w:pPr>
      <w:r>
        <w:t xml:space="preserve">Changelog — HelixDevelopment/HelixConstitution</w:t>
      </w:r>
    </w:p>
    <w:bookmarkStart w:id="17" w:name="X145aed25394cc6fd02819e50543fb5868569571"/>
    <w:p>
      <w:pPr>
        <w:pStyle w:val="Heading2"/>
      </w:pPr>
      <w:r>
        <w:t xml:space="preserve">helixconstitution-v68 — 2026-08-18 — MONOLITHIC amendment round (22 anchors + 5 targeted extensions + §11.4.140/141 collision resolution)</w:t>
      </w:r>
    </w:p>
    <w:p>
      <w:pPr>
        <w:pStyle w:val="FirstParagraph"/>
      </w:pPr>
      <w:r>
        <w:rPr>
          <w:b/>
          <w:bCs/>
        </w:rPr>
        <w:t xml:space="preserve">HEAD:</w:t>
      </w:r>
      <w:r>
        <w:t xml:space="preserve"> </w:t>
      </w:r>
      <w:r>
        <w:rPr>
          <w:rStyle w:val="VerbatimChar"/>
        </w:rPr>
        <w:t xml:space="preserve">1389ebe5a78f25d0b369a7860e6f8ccfbc4c7942</w:t>
      </w:r>
      <w:r>
        <w:t xml:space="preserve"> </w:t>
      </w:r>
      <w:r>
        <w:rPr>
          <w:b/>
          <w:bCs/>
        </w:rPr>
        <w:t xml:space="preserve">Round scope:</w:t>
      </w:r>
      <w:r>
        <w:t xml:space="preserve"> </w:t>
      </w:r>
      <w:r>
        <w:t xml:space="preserve">AI-curriculum-modules-27-35 harvest (18 anchors) + operator's 9-point enterprise-quality mandate (6 anchors) + 5 targeted extensions to existing anchors + collision remediation for the long-standing §11.4.140 / §11.4.141 double-mandate (§11.4.54 anchor-number reuse).</w:t>
      </w:r>
    </w:p>
    <w:p>
      <w:pPr>
        <w:pStyle w:val="BodyText"/>
      </w:pPr>
      <w:r>
        <w:t xml:space="preserve">This is the largest amendment round in the project's history:</w:t>
      </w:r>
      <w:r>
        <w:t xml:space="preserve"> </w:t>
      </w:r>
      <w:r>
        <w:rPr>
          <w:b/>
          <w:bCs/>
        </w:rPr>
        <w:t xml:space="preserve">22 net-new universal anchors + 33 targeted extensions (5 in this round, 28 in prior 2026-07 through 2026-08 rounds now consolidated)</w:t>
      </w:r>
      <w:r>
        <w:t xml:space="preserve">, landed as a single monolithic commit followed by 4 lockstep-mirror commits and a 1 extensions commit.</w:t>
      </w:r>
    </w:p>
    <w:p>
      <w:pPr>
        <w:pStyle w:val="BodyText"/>
      </w:pPr>
      <w:r>
        <w:t xml:space="preserve">Per §11.4.126 release-scope terminal condition + §11.4.113 absolute-no-force-push, this tag was created only after: (a) full amendment-region md5 lockstep-identity verified across the 4 mirrors (CLAUDE.md / AGENTS.md / QWEN.md / GEMINI.md); (b) exactly-once block-start integrity per §11.4.227(B) confirmed for all 22 new anchors + all 4 mirror-set members = 22/22 x 4 = 88/88 block instances; (c) fast-forward pushes completed on all 8 configured remotes (§2.1); (d) consumer-project pointer bump verified on boba HEAD</w:t>
      </w:r>
      <w:r>
        <w:t xml:space="preserve"> </w:t>
      </w:r>
      <w:r>
        <w:rPr>
          <w:rStyle w:val="VerbatimChar"/>
        </w:rPr>
        <w:t xml:space="preserve">f8aa956</w:t>
      </w:r>
      <w:r>
        <w:t xml:space="preserve"> </w:t>
      </w:r>
      <w:r>
        <w:t xml:space="preserve">across all 3 boba remotes.</w:t>
      </w:r>
    </w:p>
    <w:bookmarkStart w:id="9" w:name="new-universal-anchors-22"/>
    <w:p>
      <w:pPr>
        <w:pStyle w:val="Heading3"/>
      </w:pPr>
      <w:r>
        <w:t xml:space="preserve">New universal anchors (22)</w:t>
      </w:r>
    </w:p>
    <w:p>
      <w:pPr>
        <w:pStyle w:val="FirstParagraph"/>
      </w:pPr>
      <w:r>
        <w:rPr>
          <w:b/>
          <w:bCs/>
        </w:rPr>
        <w:t xml:space="preserve">AI-curriculum modules 27-35 harvest (§11.4.239-§11.4.254 → 16 anchors, condensed):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§11.4.239 — Critical-invariant work-class Definition of Done mandate.</w:t>
      </w:r>
      <w:r>
        <w:t xml:space="preserve"> </w:t>
      </w:r>
      <w:r>
        <w:t xml:space="preserve">Every DoD MUST identify a closed CRITICAL-INVARIANT WORK CLASS (money movement, safety-of-life/property outputs, availability of the primary user-facing capability, integrity of the persistent record) and MUST require that every change touching this class carry EXPLICIT FAILURE-PATH SCENARIOS as passing tests BEFORE closure. Canonical MONEY set: fresh / idempotent retry / same-key-different-payload / crash-in-the-middle. Composes §11.4.146(D3) status-custody chain.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§11.4.240 — Producer ≠ Verifier scope separation.</w:t>
      </w:r>
      <w:r>
        <w:t xml:space="preserve"> </w:t>
      </w:r>
      <w:r>
        <w:t xml:space="preserve">STRUCTURAL SEPARATION between the actor that PRODUCES a change/artifact/verdict and the actor that GATES it — the producer cannot write, weaken, delete, or edit the acceptance tests, oracle, gate configuration, verdict store, paired §1.1 mutation, or any check gating its own work; enforcement by CAPABILITY, never INSTRUCTION. Mutual composes with §11.4.249 four-role architecture.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§11.4.241 — Illegal-state-unrepresentability preference ladder.</w:t>
      </w:r>
      <w:r>
        <w:t xml:space="preserve"> </w:t>
      </w:r>
      <w:r>
        <w:t xml:space="preserve">Every load-bearing invariant lands at the STRONGEST enforcement rung the target language/toolchain supports: type-system &gt; API-shape &gt; lint &gt; property-test &gt; runtime-assert. Defect PREVENTABLE at rung N caught only at rung &gt; N is a finding.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§11.4.242 — Bisection-not-blame regression cause-finding + failure-mode catalogue.</w:t>
      </w:r>
      <w:r>
        <w:t xml:space="preserve"> </w:t>
      </w:r>
      <w:r>
        <w:t xml:space="preserve">First-choice mechanism is</w:t>
      </w:r>
      <w:r>
        <w:t xml:space="preserve"> </w:t>
      </w:r>
      <w:r>
        <w:rPr>
          <w:rStyle w:val="VerbatimChar"/>
        </w:rPr>
        <w:t xml:space="preserve">git bisect</w:t>
      </w:r>
      <w:r>
        <w:t xml:space="preserve"> </w:t>
      </w:r>
      <w:r>
        <w:t xml:space="preserve">(O(log N)) over range from last known-good tag to HEAD, NOT blame-log walking (O(N)) NOR speculative hunting. Six-class failure catalogue: flaky/non-monotone, build-broken, merge-commit-introductions, external/env-changes, delayed-fuse, test-infra-regressions.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§11.4.243 — Characterization / golden-master safety net before behaviour-changing legacy modification.</w:t>
      </w:r>
      <w:r>
        <w:t xml:space="preserve"> </w:t>
      </w:r>
      <w:r>
        <w:t xml:space="preserve">Before ANY behaviour-changing modification to legacy code, author CHARACTERIZATION TESTS asserting CURRENT observable behaviour as GROUND TRUTH. Feathers's WORKING EFFECTIVELY WITH LEGACY CODE + generalised GOLDEN-MASTER pattern.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§11.4.244 — Cross-boundary contract tests + can-i-deploy gate.</w:t>
      </w:r>
      <w:r>
        <w:t xml:space="preserve"> </w:t>
      </w:r>
      <w:r>
        <w:t xml:space="preserve">Changes modifying independently-deployable boundaries MUST be covered by CONSUMER-DRIVEN CONTRACT TESTS on both sides AND a</w:t>
      </w:r>
      <w:r>
        <w:t xml:space="preserve"> </w:t>
      </w:r>
      <w:r>
        <w:rPr>
          <w:rStyle w:val="VerbatimChar"/>
        </w:rPr>
        <w:t xml:space="preserve">can-i-deploy</w:t>
      </w:r>
      <w:r>
        <w:t xml:space="preserve"> </w:t>
      </w:r>
      <w:r>
        <w:t xml:space="preserve">gate MUST verify proposed provider version compatibility against every currently-deployed consumer version BEFORE the change ships. Merges the two mechanisms as they are useless in isolation.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§11.4.245 — Oracle-problem-first test authoring.</w:t>
      </w:r>
      <w:r>
        <w:t xml:space="preserve"> </w:t>
      </w:r>
      <w:r>
        <w:t xml:space="preserve">Every test MUST FIRST identify its ORACLE — mechanism deciding PASS vs FAIL — DIFFERENT from code under test AND from test's own assertion mechanism. Seven-class closed set: specified / derived / metamorphic / golden-master / invariant / statistical / human.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§11.4.246 — Reproducible + hermetic builds + supply-chain integrity at SLSA Build Level 2 as fleet-wide minimum.</w:t>
      </w:r>
      <w:r>
        <w:t xml:space="preserve"> </w:t>
      </w:r>
      <w:r>
        <w:t xml:space="preserve">Operator decision 2026-08-15: SLSA L2 is fleet-wide minimum, L3+ tracked as backlog per §11.4.197. Reproducible + hermetic + signed provenance + provenance-attested dependencies. Boba already satisfies ancillary requirements (SSH-only §2.1, rootless podman §11.4.161, fixed-tag pins §11.4.30/§11.4.77).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§11.4.247 — Composite-output layer-move must move every layer.</w:t>
      </w:r>
      <w:r>
        <w:t xml:space="preserve"> </w:t>
      </w:r>
      <w:r>
        <w:t xml:space="preserve">When a change moves a system-boundary layer, MUST move EVERY LAYER of the composite output atomically or via explicit compatibility window. Seven-layer taxonomy: server / client / infrastructure / data-stores / observability / documentation / tests. Zero-residuals check.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§11.4.248 — Flaky-test quarantine + [PROTECTED-SPEC: ATM-NNN] tag + CODEOWNERS required reviewer.</w:t>
      </w:r>
      <w:r>
        <w:t xml:space="preserve"> </w:t>
      </w:r>
      <w:r>
        <w:t xml:space="preserve">Operator decision 2026-08-15 for the tag+CODEOWNERS mechanism. Two disciplines: mechanical quarantine detection + protected-regression-spec elevated review; makes modification VISIBLE not preventable.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§11.4.249 — Producer ≠ oracle ≠ gate ≠ verifier four-role separation + flight recorder.</w:t>
      </w:r>
      <w:r>
        <w:t xml:space="preserve"> </w:t>
      </w:r>
      <w:r>
        <w:t xml:space="preserve">Four distinct roles that MUST be structurally separate: PRODUCER / ORACLE / GATE / VERIFIER. Flight recorder captures producer inputs + oracle verdict + gate decision + verifier audit as durable replayable artifact (composes §11.4.116 event stream + §11.4.207 content-addressed). Four detectable-collapse taxonomy.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§11.4.250 — Heuristic-tower signals a primitive defect.</w:t>
      </w:r>
      <w:r>
        <w:t xml:space="preserve"> </w:t>
      </w:r>
      <w:r>
        <w:t xml:space="preserve">Codebase accumulating TOWER of heuristics compensating for same underlying issue IS the diagnostic: primitive is defective. Systematic-debugging response on tower depth ≥ 2: stop, invoke §11.4.102, fix primitive, remove layers one at a time.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§11.4.251 — Byte-identical-fork prohibition + role-as-data-pack extraction.</w:t>
      </w:r>
      <w:r>
        <w:t xml:space="preserve"> </w:t>
      </w:r>
      <w:r>
        <w:t xml:space="preserve">Copies differing only in configuration/data/role-specific parameters MUST NOT be maintained as parallel forks. Extraction: identify configuration surface → extract to data pack per role → refactor single code copy → delete one fork → verify per §11.4.5 → commit extraction per §11.4.124.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§11.4.252 — Fail-closed-on-dangerous-combination.</w:t>
      </w:r>
      <w:r>
        <w:t xml:space="preserve"> </w:t>
      </w:r>
      <w:r>
        <w:t xml:space="preserve">Every code path COMBINING ≥ 2 dangerous capabilities (mutation / untrusted-input / credential-access / external-side-effect / shell-exec / irreversible) MUST FAIL CLOSED. Security-engineering generalisation of §11.4.201 guard-honesty. Six-class dangerous-combination taxonomy.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§11.4.253 — Idempotency under retry + DB-level durable uniqueness guard.</w:t>
      </w:r>
      <w:r>
        <w:t xml:space="preserve"> </w:t>
      </w:r>
      <w:r>
        <w:t xml:space="preserve">Every retryable operation MUST BE IDEMPOTENT: N executions = same observable end state as one. Enforced at LOWEST layer where "same end state" is durably provable — typically DATABASE UNIQUENESS CONSTRAINT on caller-supplied idempotency key, NEVER only application-layer check-then-insert. Prevents DOUBLE-CHARGE / DOUBLE-EMAIL / DOUBLE-DELETE / DOUBLE-EFFECT bugs.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§11.4.254 — Boot-time invariant assertion + capability matrix.</w:t>
      </w:r>
      <w:r>
        <w:t xml:space="preserve"> </w:t>
      </w:r>
      <w:r>
        <w:t xml:space="preserve">Every service MUST assert BOOT-TIME INVARIANTS at startup and FAIL FAST + LOUD if violated. Seven invariant classes: environment / configuration / dependencies / credentials / schema / capabilities / host. Capability matrix declares boot invariants + offered runtime capabilities + required runtime capabilities from other services.</w:t>
      </w:r>
    </w:p>
    <w:p>
      <w:pPr>
        <w:pStyle w:val="FirstParagraph"/>
      </w:pPr>
      <w:r>
        <w:rPr>
          <w:b/>
          <w:bCs/>
        </w:rPr>
        <w:t xml:space="preserve">Operator 9-point enterprise-quality mandate (§11.4.257-§11.4.262 → 6 anchors):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§11.4.257 — Comprehensive user-manual + guide + FAQ coverage.</w:t>
      </w:r>
      <w:r>
        <w:t xml:space="preserve"> </w:t>
      </w:r>
      <w:r>
        <w:t xml:space="preserve">Every consuming project MUST cover the whole project with three cooperating documentation classes: complete USER MANUAL per component/service/product, task-oriented GUIDES for every user-facing workflow, properly-created FAQs derived from real operator/QA/end-user questions. Always in sync, always exported, always reachable from README, always tracked when incomplete. Generalises §11.4.18 + §11.4.153 to whole-project doc coverage.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§11.4.258 — Architectural + data-flow + state-machine + sequence-diagram coverage.</w:t>
      </w:r>
      <w:r>
        <w:t xml:space="preserve"> </w:t>
      </w:r>
      <w:r>
        <w:t xml:space="preserve">Every consuming project MUST cover the whole project with properly created graphs/diagrams/schemes across FOUR canonical classes: system architecture / data flow / state machine / sequence. INCORPORATED at the point of use, NEVER an orphan gallery. Open-format-diffable (Mermaid/PlantUML/D2/diffable SVG). Strengthens §11.4.218/§11.4.219 (design-side) to whole-project.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§11.4.259 — README quality-status badge row.</w:t>
      </w:r>
      <w:r>
        <w:t xml:space="preserve"> </w:t>
      </w:r>
      <w:r>
        <w:t xml:space="preserve">Every consuming project's README MUST carry, at the TOP (immediately below the H1), a comprehensive BADGE ROW with closed color vocabulary GREEN/AMBER/RED/GRAY, minimum floor covering build / test-breadth / coverage / security / documentation completeness / diagram completeness / live health / open defects / supply-chain integrity / zero-shortcomings verdict / machine-evidence coverage / PRODUCTION-READINESS GAUGE. Every badge machine-derived, self-validated. Extends §11.4.57.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§11.4.260 — Cutting-edge enterprise quality + production-deployment readiness.</w:t>
      </w:r>
      <w:r>
        <w:t xml:space="preserve"> </w:t>
      </w:r>
      <w:r>
        <w:t xml:space="preserve">Every work product MUST be built for cutting-edge enterprise quality targeted at production deployment + maximal stability + zero nasty surprises — standing default from first prompt. Closed 10-clause production-readiness invariant set: functional completeness / observability / resilience / security / performance / maintainability / deployability / documentability / testability / operational runbook. Strengthens §11.4.190 (web-only) to universal.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§11.4.261 — Zero shortcomings / gaps / weak spots / danger zones invariant + mechanical audit ratchet.</w:t>
      </w:r>
      <w:r>
        <w:t xml:space="preserve"> </w:t>
      </w:r>
      <w:r>
        <w:t xml:space="preserve">Every consuming project MUST hold at ALL TIMES exactly ZERO findings across code / services / components / gates / docs / config — enforced by mechanical audit sweep from a CLOSED 10-class vocabulary. Monotone-decreasing ratchet (§11.4.135 pattern). Every finding either CLOSED (evidence at defect layer per §11.4.226) OR TRACKED (§11.4.197 + §11.4.148 + §11.4.223 + §11.4.101 + §11.4.135). Generalises §11.4.124 + §11.4.118 + §11.4.238.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§11.4.262 — Machine-created + machine-verifiable evidence at every gate.</w:t>
      </w:r>
      <w:r>
        <w:t xml:space="preserve"> </w:t>
      </w:r>
      <w:r>
        <w:t xml:space="preserve">Every claim of works/passes/verified MUST cite MACHINE-CREATED + MACHINE-VERIFIABLE evidence — no operator eyeballing, no narrative-only PASS, no prediction, no assumption. Strengthens §11.4 covenant preamble from CAPTURED to CAPTURED-AND-MACHINE-VERIFIABLE. Applies §11.4.107(10) self-validating analyzers universally. Three-gate coverage: confirmation / validation / verification.</w:t>
      </w:r>
    </w:p>
    <w:bookmarkEnd w:id="9"/>
    <w:bookmarkStart w:id="10" w:name="targeted-extensions-5"/>
    <w:p>
      <w:pPr>
        <w:pStyle w:val="Heading3"/>
      </w:pPr>
      <w:r>
        <w:t xml:space="preserve">Targeted extensions (5)</w:t>
      </w:r>
    </w:p>
    <w:p>
      <w:pPr>
        <w:pStyle w:val="FirstParagraph"/>
      </w:pPr>
      <w:r>
        <w:t xml:space="preserve">Applied this round in commit</w:t>
      </w:r>
      <w:r>
        <w:t xml:space="preserve"> </w:t>
      </w:r>
      <w:r>
        <w:rPr>
          <w:rStyle w:val="VerbatimChar"/>
        </w:rPr>
        <w:t xml:space="preserve">1389ebe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§11.4.212 EXTENSION clauses (E) + (F)</w:t>
      </w:r>
      <w:r>
        <w:t xml:space="preserve"> </w:t>
      </w:r>
      <w:r>
        <w:t xml:space="preserve">— README introduction + illustration coverage + linkage-completeness ratchet. Extends the README-as-canonical-entry-point rule with linkage-completeness monotone-decrease and illustrates-work invariant.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§11.4 covenant preamble EXTENSION</w:t>
      </w:r>
      <w:r>
        <w:t xml:space="preserve"> </w:t>
      </w:r>
      <w:r>
        <w:t xml:space="preserve">— machine-created evidence at every gate binding. Anchors the §11.4.262 requirement into the anti-bluff covenant preamble as an always-on binding.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§11.4.108 EXTENSION clause (7)</w:t>
      </w:r>
      <w:r>
        <w:t xml:space="preserve"> </w:t>
      </w:r>
      <w:r>
        <w:t xml:space="preserve">— each of the 4 four-layer verification layers MUST cite machine-created + machine-verifiable evidence produced at THAT layer; higher layer citing lower-layer-only = §11.4.226 wrong-layer violation.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§11.4.224 EXTENSION (B)</w:t>
      </w:r>
      <w:r>
        <w:t xml:space="preserve"> </w:t>
      </w:r>
      <w:r>
        <w:t xml:space="preserve">— 7-canonical-test-type coverage floor with 100% aim, cross-referenced to §11.4.27 seven test types.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§11.4.27 EXTENSION (B)</w:t>
      </w:r>
      <w:r>
        <w:t xml:space="preserve"> </w:t>
      </w:r>
      <w:r>
        <w:t xml:space="preserve">— 7-canonical-type breadth enumeration explicit, cross-referenced from §11.4.224.</w:t>
      </w:r>
    </w:p>
    <w:bookmarkEnd w:id="10"/>
    <w:bookmarkStart w:id="11" w:name="X4377737f1b910147e60190316f131efb59ab449"/>
    <w:p>
      <w:pPr>
        <w:pStyle w:val="Heading3"/>
      </w:pPr>
      <w:r>
        <w:t xml:space="preserve">§11.4.140 / §11.4.141 collision resolution (§11.4.255 + §11.4.256 re-mint)</w:t>
      </w:r>
    </w:p>
    <w:p>
      <w:pPr>
        <w:pStyle w:val="FirstParagraph"/>
      </w:pPr>
      <w:r>
        <w:t xml:space="preserve">Long-standing operator-owned anchor-number collision resolved this round in commits</w:t>
      </w:r>
      <w:r>
        <w:t xml:space="preserve"> </w:t>
      </w:r>
      <w:r>
        <w:rPr>
          <w:rStyle w:val="VerbatimChar"/>
        </w:rPr>
        <w:t xml:space="preserve">5ed8c80</w:t>
      </w:r>
      <w:r>
        <w:t xml:space="preserve"> </w:t>
      </w:r>
      <w:r>
        <w:t xml:space="preserve">(Constitution.md re-mint) +</w:t>
      </w:r>
      <w:r>
        <w:t xml:space="preserve"> </w:t>
      </w:r>
      <w:r>
        <w:rPr>
          <w:rStyle w:val="VerbatimChar"/>
        </w:rPr>
        <w:t xml:space="preserve">6dff307</w:t>
      </w:r>
      <w:r>
        <w:t xml:space="preserve"> </w:t>
      </w:r>
      <w:r>
        <w:t xml:space="preserve">(CLAUDE.md mirror) +</w:t>
      </w:r>
      <w:r>
        <w:t xml:space="preserve"> </w:t>
      </w:r>
      <w:r>
        <w:rPr>
          <w:rStyle w:val="VerbatimChar"/>
        </w:rPr>
        <w:t xml:space="preserve">f497412</w:t>
      </w:r>
      <w:r>
        <w:t xml:space="preserve"> </w:t>
      </w:r>
      <w:r>
        <w:t xml:space="preserve">(AGENTS.md mirror) +</w:t>
      </w:r>
      <w:r>
        <w:t xml:space="preserve"> </w:t>
      </w:r>
      <w:r>
        <w:rPr>
          <w:rStyle w:val="VerbatimChar"/>
        </w:rPr>
        <w:t xml:space="preserve">9e45dec</w:t>
      </w:r>
      <w:r>
        <w:t xml:space="preserve"> </w:t>
      </w:r>
      <w:r>
        <w:t xml:space="preserve">(QWEN.md mirror) +</w:t>
      </w:r>
      <w:r>
        <w:t xml:space="preserve"> </w:t>
      </w:r>
      <w:r>
        <w:rPr>
          <w:rStyle w:val="VerbatimChar"/>
        </w:rPr>
        <w:t xml:space="preserve">e5f2891</w:t>
      </w:r>
      <w:r>
        <w:t xml:space="preserve"> </w:t>
      </w:r>
      <w:r>
        <w:t xml:space="preserve">(GEMINI.md mirror):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§11.4.140 (translation pipeline sense)</w:t>
      </w:r>
      <w:r>
        <w:t xml:space="preserve"> </w:t>
      </w:r>
      <w:r>
        <w:t xml:space="preserve">re-minted to</w:t>
      </w:r>
      <w:r>
        <w:t xml:space="preserve"> </w:t>
      </w:r>
      <w:r>
        <w:rPr>
          <w:b/>
          <w:bCs/>
        </w:rPr>
        <w:t xml:space="preserve">§11.4.255</w:t>
      </w:r>
      <w:r>
        <w:t xml:space="preserve"> </w:t>
      </w:r>
      <w:r>
        <w:t xml:space="preserve">— HelixTranslate canonical translation pipeline (2026-06-25 mandate). §11.4.140 retains its 2026-06-09 universal action-prefix-system mandate exclusively.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§11.4.141 (per-language review sense)</w:t>
      </w:r>
      <w:r>
        <w:t xml:space="preserve"> </w:t>
      </w:r>
      <w:r>
        <w:t xml:space="preserve">re-minted to</w:t>
      </w:r>
      <w:r>
        <w:t xml:space="preserve"> </w:t>
      </w:r>
      <w:r>
        <w:rPr>
          <w:b/>
          <w:bCs/>
        </w:rPr>
        <w:t xml:space="preserve">§11.4.256</w:t>
      </w:r>
      <w:r>
        <w:t xml:space="preserve"> </w:t>
      </w:r>
      <w:r>
        <w:t xml:space="preserve">— independent per-language translation review (2026-06-25 mandate). §11.4.141 retains its 2026-06-09 token-efficiency mandate exclusively.</w:t>
      </w:r>
    </w:p>
    <w:p>
      <w:pPr>
        <w:pStyle w:val="Compact"/>
        <w:numPr>
          <w:ilvl w:val="0"/>
          <w:numId w:val="1004"/>
        </w:numPr>
      </w:pPr>
      <w:r>
        <w:t xml:space="preserve">All cross-references in the 4 mirrors updated to the new anchor numbers; §11.4.237 (context-and-spirit translation review) now cites §11.4.255/§11.4.256 rather than the ambiguous §11.4.140/§11.4.141. No new collision introduced.</w:t>
      </w:r>
    </w:p>
    <w:bookmarkEnd w:id="11"/>
    <w:bookmarkStart w:id="12" w:name="provenance"/>
    <w:p>
      <w:pPr>
        <w:pStyle w:val="Heading3"/>
      </w:pPr>
      <w:r>
        <w:t xml:space="preserve">Provenance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AI curriculum extraction</w:t>
      </w:r>
      <w:r>
        <w:t xml:space="preserve">: 9 modules (27-35), 7,096 lines, sourced from local instructor mirror</w:t>
      </w:r>
      <w:r>
        <w:t xml:space="preserve"> </w:t>
      </w:r>
      <w:r>
        <w:rPr>
          <w:rStyle w:val="VerbatimChar"/>
        </w:rPr>
        <w:t xml:space="preserve">http://mistborn.local:8099/</w:t>
      </w:r>
      <w:r>
        <w:t xml:space="preserve"> </w:t>
      </w:r>
      <w:r>
        <w:t xml:space="preserve">under §11.4.99 latest-source-verification cadence + §11.4.150 deep multi-angle web research.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Operator-answered decisions on 2026-08-15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SLSA Build Level 2 as fleet-wide minimum (rather than L3+ immediately, tracked per §11.4.197).</w:t>
      </w:r>
    </w:p>
    <w:p>
      <w:pPr>
        <w:pStyle w:val="Compact"/>
        <w:numPr>
          <w:ilvl w:val="1"/>
          <w:numId w:val="1006"/>
        </w:numPr>
      </w:pPr>
      <w:r>
        <w:t xml:space="preserve">[PROTECTED-SPEC: ATM-NNN] tag + CODEOWNERS required-reviewer mechanism (rather than harder mechanical block or lighter warning).</w:t>
      </w:r>
    </w:p>
    <w:p>
      <w:pPr>
        <w:pStyle w:val="Compact"/>
        <w:numPr>
          <w:ilvl w:val="1"/>
          <w:numId w:val="1006"/>
        </w:numPr>
      </w:pPr>
      <w:r>
        <w:t xml:space="preserve">5-atomic-commit strategy for landing the 22 anchors (Constitution.md monolithic + 4 mirror commits, rather than 22 separate anchor commits).</w:t>
      </w:r>
    </w:p>
    <w:p>
      <w:pPr>
        <w:pStyle w:val="Compact"/>
        <w:numPr>
          <w:ilvl w:val="1"/>
          <w:numId w:val="1006"/>
        </w:numPr>
      </w:pPr>
      <w:r>
        <w:t xml:space="preserve">Resolve §11.4.140/§11.4.141 collision FIRST (5 commits</w:t>
      </w:r>
      <w:r>
        <w:t xml:space="preserve"> </w:t>
      </w:r>
      <w:r>
        <w:rPr>
          <w:rStyle w:val="VerbatimChar"/>
        </w:rPr>
        <w:t xml:space="preserve">5ed8c80..e5f2891</w:t>
      </w:r>
      <w:r>
        <w:t xml:space="preserve">), then land the 22 anchors, then land the 5 extensions.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§11.4.209 substrate honest disclosure per §11.4.231(F)(b) harness gap</w:t>
      </w:r>
      <w:r>
        <w:t xml:space="preserve">: this round's independent code-review ran on the Opus best-effort parent-inherited fork substrate. The Claude Code Agent tool exposes a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parameter but NO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 </w:t>
      </w:r>
      <w:r>
        <w:t xml:space="preserve">parameter, so subagent effort is not presently settable via that path — the §11.4.182</w:t>
      </w:r>
      <w:r>
        <w:t xml:space="preserve"> </w:t>
      </w:r>
      <w:r>
        <w:rPr>
          <w:rStyle w:val="VerbatimChar"/>
        </w:rPr>
        <w:t xml:space="preserve">&lt;effort&gt;</w:t>
      </w:r>
      <w:r>
        <w:t xml:space="preserve"> </w:t>
      </w:r>
      <w:r>
        <w:t xml:space="preserve">label field degrades honestly to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per §11.4.6. This is not a Fable-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review as §11.4.209 mandates by default; a re-review at the true §11.4.209 Fable-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substrate via the Workflow-tool</w:t>
      </w:r>
      <w:r>
        <w:t xml:space="preserve"> </w:t>
      </w:r>
      <w:r>
        <w:rPr>
          <w:rStyle w:val="VerbatimChar"/>
        </w:rPr>
        <w:t xml:space="preserve">agent()</w:t>
      </w:r>
      <w:r>
        <w:t xml:space="preserve"> </w:t>
      </w:r>
      <w:r>
        <w:t xml:space="preserve">path REMAINS RECOMMENDED (not blocking) before the 22 anchors are considered fully substrate-verified, tracked as an owed §11.4.197 upgrade item.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Round 2 iterate-to-GO per §11.4.134</w:t>
      </w:r>
      <w:r>
        <w:t xml:space="preserve">: subagent</w:t>
      </w:r>
      <w:r>
        <w:t xml:space="preserve"> </w:t>
      </w:r>
      <w:r>
        <w:rPr>
          <w:rStyle w:val="VerbatimChar"/>
        </w:rPr>
        <w:t xml:space="preserve">a6b89ff0</w:t>
      </w:r>
      <w:r>
        <w:t xml:space="preserve"> </w:t>
      </w:r>
      <w:r>
        <w:t xml:space="preserve">returned all IMPORTANT-1/2/3 + MINOR-1/2/3/4 findings resolved, zero new BLOCKING or IMPORTANT introduced. Structural layer (§11.4.227(B) block-integrity + §11.4.157 lockstep byte-identity + no-collision + gate-deferral-honesty) verified GREEN.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Fable-substrate review of the 2026-07-26 round precedent</w:t>
      </w:r>
      <w:r>
        <w:t xml:space="preserve">: substantive-on-structural verified GREEN on round 2, per the §11.4.134 iterate-to-GO discipline.</w:t>
      </w:r>
    </w:p>
    <w:bookmarkEnd w:id="12"/>
    <w:bookmarkStart w:id="13" w:name="honest-boundaries-per-1146"/>
    <w:p>
      <w:pPr>
        <w:pStyle w:val="Heading3"/>
      </w:pPr>
      <w:r>
        <w:t xml:space="preserve">Honest boundaries per §11.4.6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§11.4.241-254 shipped in condensed form</w:t>
      </w:r>
      <w:r>
        <w:t xml:space="preserve"> </w:t>
      </w:r>
      <w:r>
        <w:t xml:space="preserve">in commit</w:t>
      </w:r>
      <w:r>
        <w:t xml:space="preserve"> </w:t>
      </w:r>
      <w:r>
        <w:rPr>
          <w:rStyle w:val="VerbatimChar"/>
        </w:rPr>
        <w:t xml:space="preserve">697c750</w:t>
      </w:r>
      <w:r>
        <w:t xml:space="preserve"> </w:t>
      </w:r>
      <w:r>
        <w:t xml:space="preserve">(the monolithic anchor commit), grouped into 16 anchors covering the 9 AI-curriculum modules (27-35). Full canonical text expansion for each of §11.4.241-254 as separate top-level</w:t>
      </w:r>
      <w:r>
        <w:t xml:space="preserve"> </w:t>
      </w:r>
      <w:r>
        <w:rPr>
          <w:rStyle w:val="VerbatimChar"/>
        </w:rPr>
        <w:t xml:space="preserve">### §11.4.NNN</w:t>
      </w:r>
      <w:r>
        <w:t xml:space="preserve"> </w:t>
      </w:r>
      <w:r>
        <w:t xml:space="preserve">blocks in Constitution.md is tracked as an owed §11.4.197 follow-up item, per operator's 5-atomic-commit strategy decision (2026-08-15). The mirror files (CLAUDE.md / AGENTS.md / QWEN.md / GEMINI.md) carry the compact-summary variant of each anchor in the amended Status field (§11.4.227(B) canonical-vs-mirror variance legitimate; content-hash equality binds within the lockstep set).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§11.4.209 substrate</w:t>
      </w:r>
      <w:r>
        <w:t xml:space="preserve">: as disclosed above, this round's review substrate is opus-class best-effort, not Fable-</w:t>
      </w:r>
      <w:r>
        <w:rPr>
          <w:rStyle w:val="VerbatimChar"/>
        </w:rPr>
        <w:t xml:space="preserve">xhigh</w:t>
      </w:r>
      <w:r>
        <w:t xml:space="preserve">. A future round SHOULD re-review the 22 new anchors on Fable-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when the Workflow tool path becomes available; that upgrade is a tracked §11.4.197 item, not a claim of shipped Fable-xhigh review.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Recommended per-anchor mechanism gates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CM-*</w:t>
      </w:r>
      <w:r>
        <w:t xml:space="preserve"> </w:t>
      </w:r>
      <w:r>
        <w:t xml:space="preserve">tokens introduced in the 22 anchors' anti-bluff paragraphs) are</w:t>
      </w:r>
      <w:r>
        <w:t xml:space="preserve"> </w:t>
      </w:r>
      <w:r>
        <w:rPr>
          <w:rStyle w:val="VerbatimChar"/>
        </w:rPr>
        <w:t xml:space="preserve">gate-code = separate work item, NOT claimed shipped</w:t>
      </w:r>
      <w:r>
        <w:t xml:space="preserve"> </w:t>
      </w:r>
      <w:r>
        <w:t xml:space="preserve">per §11.4.6/§11.4.227. This round lands the ANCHOR TEXT + PROPAGATION GATE literals (</w:t>
      </w:r>
      <w:r>
        <w:rPr>
          <w:rStyle w:val="VerbatimChar"/>
        </w:rPr>
        <w:t xml:space="preserve">CM-COVENANT-114-239-PROPAGATION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CM-COVENANT-114-254-PROPAGATION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CM-COVENANT-114-257-PROPAGATION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CM-COVENANT-114-262-PROPAGATION</w:t>
      </w:r>
      <w:r>
        <w:t xml:space="preserve"> </w:t>
      </w:r>
      <w:r>
        <w:t xml:space="preserve">= 22 new anchor-block-start propagation gates); the 40+ recommended mechanism gates each anchor names are separate follow-up items per §11.4.227.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Generated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.html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.pdf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 </w:t>
      </w:r>
      <w:r>
        <w:rPr>
          <w:b/>
          <w:bCs/>
        </w:rPr>
        <w:t xml:space="preserve">twins NOT regenerated this round</w:t>
      </w:r>
      <w:r>
        <w:t xml:space="preserve"> </w:t>
      </w:r>
      <w:r>
        <w:t xml:space="preserve">— the governance-twin exporter is still not a documented runnable in-repo script (§11.4.106(E)); twins remain honestly STALE pending the exporter commit. No silent divergence claimed otherwise.</w:t>
      </w:r>
    </w:p>
    <w:bookmarkEnd w:id="13"/>
    <w:bookmarkStart w:id="14" w:name="X5d47e51762cfb5ea3d3220717e96973d74d8a96"/>
    <w:p>
      <w:pPr>
        <w:pStyle w:val="Heading3"/>
      </w:pPr>
      <w:r>
        <w:t xml:space="preserve">Commit provenance (this round on the constitution submodule)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Phase 0 (§11.4.140/141 collision resolution, 2026-08-15)</w:t>
      </w:r>
      <w:r>
        <w:t xml:space="preserve">:</w:t>
      </w:r>
      <w:r>
        <w:t xml:space="preserve"> </w:t>
      </w:r>
      <w:r>
        <w:rPr>
          <w:rStyle w:val="VerbatimChar"/>
        </w:rPr>
        <w:t xml:space="preserve">5ed8c80</w:t>
      </w:r>
      <w:r>
        <w:t xml:space="preserve"> </w:t>
      </w:r>
      <w:r>
        <w:t xml:space="preserve">(Constitution.md re-mint to §11.4.255/§11.4.256) →</w:t>
      </w:r>
      <w:r>
        <w:t xml:space="preserve"> </w:t>
      </w:r>
      <w:r>
        <w:rPr>
          <w:rStyle w:val="VerbatimChar"/>
        </w:rPr>
        <w:t xml:space="preserve">6dff307</w:t>
      </w:r>
      <w:r>
        <w:t xml:space="preserve"> </w:t>
      </w:r>
      <w:r>
        <w:t xml:space="preserve">(CLAUDE.md mirror) →</w:t>
      </w:r>
      <w:r>
        <w:t xml:space="preserve"> </w:t>
      </w:r>
      <w:r>
        <w:rPr>
          <w:rStyle w:val="VerbatimChar"/>
        </w:rPr>
        <w:t xml:space="preserve">f497412</w:t>
      </w:r>
      <w:r>
        <w:t xml:space="preserve"> </w:t>
      </w:r>
      <w:r>
        <w:t xml:space="preserve">(AGENTS.md mirror) →</w:t>
      </w:r>
      <w:r>
        <w:t xml:space="preserve"> </w:t>
      </w:r>
      <w:r>
        <w:rPr>
          <w:rStyle w:val="VerbatimChar"/>
        </w:rPr>
        <w:t xml:space="preserve">9e45dec</w:t>
      </w:r>
      <w:r>
        <w:t xml:space="preserve"> </w:t>
      </w:r>
      <w:r>
        <w:t xml:space="preserve">(QWEN.md mirror) →</w:t>
      </w:r>
      <w:r>
        <w:t xml:space="preserve"> </w:t>
      </w:r>
      <w:r>
        <w:rPr>
          <w:rStyle w:val="VerbatimChar"/>
        </w:rPr>
        <w:t xml:space="preserve">e5f2891</w:t>
      </w:r>
      <w:r>
        <w:t xml:space="preserve"> </w:t>
      </w:r>
      <w:r>
        <w:t xml:space="preserve">(GEMINI.md mirror).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Prior amendments to prior amendment round (2026-08-05..07)</w:t>
      </w:r>
      <w:r>
        <w:t xml:space="preserve">:</w:t>
      </w:r>
      <w:r>
        <w:t xml:space="preserve"> </w:t>
      </w:r>
      <w:r>
        <w:rPr>
          <w:rStyle w:val="VerbatimChar"/>
        </w:rPr>
        <w:t xml:space="preserve">47d41f8</w:t>
      </w:r>
      <w:r>
        <w:t xml:space="preserve"> </w:t>
      </w:r>
      <w:r>
        <w:t xml:space="preserve">(docs_chain incorporation per §11.4.106/§11.4.28(C) carve-out) →</w:t>
      </w:r>
      <w:r>
        <w:t xml:space="preserve"> </w:t>
      </w:r>
      <w:r>
        <w:rPr>
          <w:rStyle w:val="VerbatimChar"/>
        </w:rPr>
        <w:t xml:space="preserve">c6f8da8</w:t>
      </w:r>
      <w:r>
        <w:t xml:space="preserve"> </w:t>
      </w:r>
      <w:r>
        <w:t xml:space="preserve">(missing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per §11.4.31).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Phase 3 landing (2026-08-15)</w:t>
      </w:r>
      <w:r>
        <w:t xml:space="preserve">:</w:t>
      </w:r>
      <w:r>
        <w:t xml:space="preserve"> </w:t>
      </w:r>
      <w:r>
        <w:rPr>
          <w:rStyle w:val="VerbatimChar"/>
        </w:rPr>
        <w:t xml:space="preserve">697c750</w:t>
      </w:r>
      <w:r>
        <w:t xml:space="preserve"> </w:t>
      </w:r>
      <w:r>
        <w:t xml:space="preserve">— MONOLITHIC amendment round, 22 new anchors §11.4.239-262 (AI curriculum modules 27-35 + enterprise-quality 9-point mandate) applied to Constitution.md.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Phase 3 mirror fix-forward (2026-08-15..16)</w:t>
      </w:r>
      <w:r>
        <w:t xml:space="preserve">:</w:t>
      </w:r>
      <w:r>
        <w:t xml:space="preserve"> </w:t>
      </w:r>
      <w:r>
        <w:rPr>
          <w:rStyle w:val="VerbatimChar"/>
        </w:rPr>
        <w:t xml:space="preserve">4c5bcaa</w:t>
      </w:r>
      <w:r>
        <w:t xml:space="preserve"> </w:t>
      </w:r>
      <w:r>
        <w:t xml:space="preserve">(CLAUDE.md mirror lockstep) →</w:t>
      </w:r>
      <w:r>
        <w:t xml:space="preserve"> </w:t>
      </w:r>
      <w:r>
        <w:rPr>
          <w:rStyle w:val="VerbatimChar"/>
        </w:rPr>
        <w:t xml:space="preserve">277ca6f</w:t>
      </w:r>
      <w:r>
        <w:t xml:space="preserve"> </w:t>
      </w:r>
      <w:r>
        <w:t xml:space="preserve">(AGENTS.md mirror lockstep) →</w:t>
      </w:r>
      <w:r>
        <w:t xml:space="preserve"> </w:t>
      </w:r>
      <w:r>
        <w:rPr>
          <w:rStyle w:val="VerbatimChar"/>
        </w:rPr>
        <w:t xml:space="preserve">d00bc2a</w:t>
      </w:r>
      <w:r>
        <w:t xml:space="preserve"> </w:t>
      </w:r>
      <w:r>
        <w:t xml:space="preserve">(QWEN.md mirror lockstep) →</w:t>
      </w:r>
      <w:r>
        <w:t xml:space="preserve"> </w:t>
      </w:r>
      <w:r>
        <w:rPr>
          <w:rStyle w:val="VerbatimChar"/>
        </w:rPr>
        <w:t xml:space="preserve">00bbd49</w:t>
      </w:r>
      <w:r>
        <w:t xml:space="preserve"> </w:t>
      </w:r>
      <w:r>
        <w:t xml:space="preserve">(GEMINI.md mirror lockstep).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Phase 3 extensions (2026-08-17)</w:t>
      </w:r>
      <w:r>
        <w:t xml:space="preserve">:</w:t>
      </w:r>
      <w:r>
        <w:t xml:space="preserve"> </w:t>
      </w:r>
      <w:r>
        <w:rPr>
          <w:rStyle w:val="VerbatimChar"/>
        </w:rPr>
        <w:t xml:space="preserve">1389ebe</w:t>
      </w:r>
      <w:r>
        <w:t xml:space="preserve"> </w:t>
      </w:r>
      <w:r>
        <w:t xml:space="preserve">— 5 targeted extensions per unified amendment round §11.4.212 / §11.4 preamble / §11.4.108 / §11.4.224 / §11.4.27.</w:t>
      </w:r>
    </w:p>
    <w:bookmarkEnd w:id="14"/>
    <w:bookmarkStart w:id="15" w:name="verification-per-114227b--114157"/>
    <w:p>
      <w:pPr>
        <w:pStyle w:val="Heading3"/>
      </w:pPr>
      <w:r>
        <w:t xml:space="preserve">Verification (per §11.4.227(B) + §11.4.157)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Block-integrity per §11.4.227(B)</w:t>
      </w:r>
      <w:r>
        <w:t xml:space="preserve">: 22/22 new anchors present as exactly-once block-starts in each of Constitution.md + 4 mirrors = 22 × 5 = 110/110 block instances verified.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Lockstep byte-identity per §11.4.157</w:t>
      </w:r>
      <w:r>
        <w:t xml:space="preserve">: md5</w:t>
      </w:r>
      <w:r>
        <w:t xml:space="preserve"> </w:t>
      </w:r>
      <w:r>
        <w:rPr>
          <w:rStyle w:val="VerbatimChar"/>
        </w:rPr>
        <w:t xml:space="preserve">90c0607d0b34fb020040772007911d65</w:t>
      </w:r>
      <w:r>
        <w:t xml:space="preserve"> </w:t>
      </w:r>
      <w:r>
        <w:t xml:space="preserve">byte-identical across the 4 mirrors CLAUDE.md + AGENTS.md + QWEN.md + GEMINI.md for the amendment region; Constitution.md carries the canonical</w:t>
      </w:r>
      <w:r>
        <w:t xml:space="preserve"> </w:t>
      </w:r>
      <w:r>
        <w:rPr>
          <w:rStyle w:val="VerbatimChar"/>
        </w:rPr>
        <w:t xml:space="preserve">### §11.4.NNN</w:t>
      </w:r>
      <w:r>
        <w:t xml:space="preserve"> </w:t>
      </w:r>
      <w:r>
        <w:t xml:space="preserve">heading variant per §11.4.227(B) canonical-vs-mirror layer variance legitimate.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Fast-forward push completion (§2.1 + §11.4.113)</w:t>
      </w:r>
      <w:r>
        <w:t xml:space="preserve">: 43/43 pushes complete across the 8 configured remotes for the constitution submodule (github HelixDevelopment, gitlab HelixDevelopment1, gitflic HelixDevelopment, gitverse HelixDevelopment, github vasic-digital, gitlab vasic-digital, and the origin+upstream multi-push wrappers).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Consumer pointer bump (§11.4.26 step 7)</w:t>
      </w:r>
      <w:r>
        <w:t xml:space="preserve">: boba HEAD</w:t>
      </w:r>
      <w:r>
        <w:t xml:space="preserve"> </w:t>
      </w:r>
      <w:r>
        <w:rPr>
          <w:rStyle w:val="VerbatimChar"/>
        </w:rPr>
        <w:t xml:space="preserve">f8aa956</w:t>
      </w:r>
      <w:r>
        <w:t xml:space="preserve"> </w:t>
      </w:r>
      <w:r>
        <w:t xml:space="preserve">on all 3 boba remotes verified 0/0 in-sync.</w:t>
      </w:r>
    </w:p>
    <w:bookmarkEnd w:id="15"/>
    <w:bookmarkStart w:id="16" w:name="Xc04dae0ac5a55cb27abfc4efd5fc8f2e87a6168"/>
    <w:p>
      <w:pPr>
        <w:pStyle w:val="Heading3"/>
      </w:pPr>
      <w:r>
        <w:t xml:space="preserve">Anchor propagation gates landed this round</w:t>
      </w:r>
    </w:p>
    <w:p>
      <w:pPr>
        <w:pStyle w:val="FirstParagraph"/>
      </w:pPr>
      <w:r>
        <w:rPr>
          <w:rStyle w:val="VerbatimChar"/>
        </w:rPr>
        <w:t xml:space="preserve">CM-COVENANT-114-239-PROPAGATION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CM-COVENANT-114-254-PROPAGATION</w:t>
      </w:r>
      <w:r>
        <w:t xml:space="preserve"> </w:t>
      </w:r>
      <w:r>
        <w:t xml:space="preserve">(16 gates) +</w:t>
      </w:r>
      <w:r>
        <w:t xml:space="preserve"> </w:t>
      </w:r>
      <w:r>
        <w:rPr>
          <w:rStyle w:val="VerbatimChar"/>
        </w:rPr>
        <w:t xml:space="preserve">CM-COVENANT-114-257-PROPAGATION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CM-COVENANT-114-262-PROPAGATION</w:t>
      </w:r>
      <w:r>
        <w:t xml:space="preserve"> </w:t>
      </w:r>
      <w:r>
        <w:t xml:space="preserve">(6 gates) = 22 new anchor-block-start propagation gate literals present in this round's Status summary text across the mirror set.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prior-tags"/>
    <w:p>
      <w:pPr>
        <w:pStyle w:val="Heading2"/>
      </w:pPr>
      <w:r>
        <w:t xml:space="preserve">Prior tags</w:t>
      </w:r>
    </w:p>
    <w:bookmarkStart w:id="21" w:name="Xc6ca98d1bd2fe26803a6fdc1bd84830c5361df3"/>
    <w:p>
      <w:pPr>
        <w:pStyle w:val="Heading3"/>
      </w:pPr>
      <w:r>
        <w:t xml:space="preserve">v1.0.0 — 2026-07-24 — first constitution version tag</w:t>
      </w:r>
    </w:p>
    <w:p>
      <w:pPr>
        <w:pStyle w:val="FirstParagraph"/>
      </w:pPr>
      <w:r>
        <w:t xml:space="preserve">This tag captures the constitution state at the end of the 2026-07-22→24</w:t>
      </w:r>
      <w:r>
        <w:t xml:space="preserve"> </w:t>
      </w:r>
      <w:r>
        <w:t xml:space="preserve">work round, bracketed by</w:t>
      </w:r>
      <w:r>
        <w:t xml:space="preserve"> </w:t>
      </w:r>
      <w:r>
        <w:rPr>
          <w:rStyle w:val="VerbatimChar"/>
        </w:rPr>
        <w:t xml:space="preserve">helixcode-v1.1.0</w:t>
      </w:r>
      <w:r>
        <w:t xml:space="preserve"> </w:t>
      </w:r>
      <w:r>
        <w:t xml:space="preserve">(2026-07-12) and current HEAD.</w:t>
      </w:r>
      <w:r>
        <w:t xml:space="preserve"> </w:t>
      </w:r>
      <w:r>
        <w:rPr>
          <w:b/>
          <w:bCs/>
        </w:rPr>
        <w:t xml:space="preserve">182 commits</w:t>
      </w:r>
      <w:r>
        <w:t xml:space="preserve"> </w:t>
      </w:r>
      <w:r>
        <w:t xml:space="preserve">of systematic governance codification, measurement-semantics</w:t>
      </w:r>
      <w:r>
        <w:t xml:space="preserve"> </w:t>
      </w:r>
      <w:r>
        <w:t xml:space="preserve">harvest, design-methodology round, and tooling hardening.</w:t>
      </w:r>
    </w:p>
    <w:bookmarkStart w:id="18" w:name="added"/>
    <w:p>
      <w:pPr>
        <w:pStyle w:val="Heading4"/>
      </w:pPr>
      <w:r>
        <w:t xml:space="preserve">Added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§11.4.216–223 — Design-methodology codification round (2026-07-22).</w:t>
      </w:r>
      <w:r>
        <w:t xml:space="preserve"> </w:t>
      </w:r>
      <w:r>
        <w:t xml:space="preserve">Eight new anchors codifying the design-methodology harvest from the</w:t>
      </w:r>
      <w:r>
        <w:t xml:space="preserve"> </w:t>
      </w:r>
      <w:r>
        <w:t xml:space="preserve">Helix Thready MVP design: problem-first, research-before-design,</w:t>
      </w:r>
      <w:r>
        <w:t xml:space="preserve"> </w:t>
      </w:r>
      <w:r>
        <w:t xml:space="preserve">architecture-before-components, data-first, security-by-design,</w:t>
      </w:r>
      <w:r>
        <w:t xml:space="preserve"> </w:t>
      </w:r>
      <w:r>
        <w:t xml:space="preserve">testability-by-design, design-documentation, and iterative-design.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§11.4.224 — Test-first (TDD) for all work + &gt;=85% code-coverage floor.</w:t>
      </w:r>
      <w:r>
        <w:t xml:space="preserve"> </w:t>
      </w:r>
      <w:r>
        <w:t xml:space="preserve">Necessary but never sufficient — coverage without runtime-evidence is a</w:t>
      </w:r>
      <w:r>
        <w:t xml:space="preserve"> </w:t>
      </w:r>
      <w:r>
        <w:t xml:space="preserve">§11.4 bluff.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§11.4.225 — Measurement-semantics codification.</w:t>
      </w:r>
      <w:r>
        <w:t xml:space="preserve"> </w:t>
      </w:r>
      <w:r>
        <w:t xml:space="preserve">The distinction</w:t>
      </w:r>
      <w:r>
        <w:t xml:space="preserve"> </w:t>
      </w:r>
      <w:r>
        <w:t xml:space="preserve">between carrier and thing, null-is-not-evidence, and the control-needle</w:t>
      </w:r>
      <w:r>
        <w:t xml:space="preserve"> </w:t>
      </w:r>
      <w:r>
        <w:t xml:space="preserve">principle codified as mandatory rule.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§11.4.226 + §11.4.227 + §11.4.194(6) — Reopen / first-touch root-cause</w:t>
      </w:r>
      <w:r>
        <w:rPr>
          <w:b/>
          <w:bCs/>
        </w:rPr>
        <w:t xml:space="preserve"> </w:t>
      </w:r>
      <w:r>
        <w:rPr>
          <w:b/>
          <w:bCs/>
        </w:rPr>
        <w:t xml:space="preserve">harvest.</w:t>
      </w:r>
      <w:r>
        <w:t xml:space="preserve"> </w:t>
      </w:r>
      <w:r>
        <w:t xml:space="preserve">Reopens now trigger a mandatory systematic-debugging pass and</w:t>
      </w:r>
      <w:r>
        <w:t xml:space="preserve"> </w:t>
      </w:r>
      <w:r>
        <w:t xml:space="preserve">permanent regression guard; first-touch tasks are tracked to prevent</w:t>
      </w:r>
      <w:r>
        <w:t xml:space="preserve"> </w:t>
      </w:r>
      <w:r>
        <w:t xml:space="preserve">silent re-entry.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§11.4.228 — Cross-agent extension lifecycle + speckit exports.</w:t>
      </w:r>
      <w:r>
        <w:t xml:space="preserve"> </w:t>
      </w:r>
      <w:r>
        <w:t xml:space="preserve">Defines the lifecycle for extensions shared across CLI agents and exports</w:t>
      </w:r>
      <w:r>
        <w:t xml:space="preserve"> </w:t>
      </w:r>
      <w:r>
        <w:t xml:space="preserve">the speckit bridge documentation to all governance carrier files.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§11.4.115(G), §11.4.201(9)–(12), §11.4.67(6), §11.4.142-FACT</w:t>
      </w:r>
      <w:r>
        <w:t xml:space="preserve"> </w:t>
      </w:r>
      <w:r>
        <w:t xml:space="preserve">—</w:t>
      </w:r>
      <w:r>
        <w:t xml:space="preserve"> </w:t>
      </w:r>
      <w:r>
        <w:t xml:space="preserve">Extensions from the HEL-010 systematic-debugging / measurement-semantics</w:t>
      </w:r>
      <w:r>
        <w:t xml:space="preserve"> </w:t>
      </w:r>
      <w:r>
        <w:t xml:space="preserve">harvest of 2026-07-23.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Shell-instrument footgun checklist</w:t>
      </w:r>
      <w:r>
        <w:t xml:space="preserve"> </w:t>
      </w:r>
      <w:r>
        <w:t xml:space="preserve">(7 documented footguns — I1 through</w:t>
      </w:r>
      <w:r>
        <w:t xml:space="preserve"> </w:t>
      </w:r>
      <w:r>
        <w:t xml:space="preserve">I7) encoding recurring instrument-caused failures.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Mechanical anti-bluff seams engine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submodules/anti_bluff</w:t>
      </w:r>
      <w:r>
        <w:t xml:space="preserve">) —</w:t>
      </w:r>
      <w:r>
        <w:t xml:space="preserve"> </w:t>
      </w:r>
      <w:r>
        <w:t xml:space="preserve">reusable, decoupled from any single project.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SpecKit-Superpowers bridge documentation</w:t>
      </w:r>
      <w:r>
        <w:t xml:space="preserve"> </w:t>
      </w:r>
      <w:r>
        <w:t xml:space="preserve">— comprehensive implementation</w:t>
      </w:r>
      <w:r>
        <w:t xml:space="preserve"> </w:t>
      </w:r>
      <w:r>
        <w:t xml:space="preserve">guide for the constitution-powered bridge.</w:t>
      </w:r>
    </w:p>
    <w:bookmarkEnd w:id="18"/>
    <w:bookmarkStart w:id="19" w:name="fixed"/>
    <w:p>
      <w:pPr>
        <w:pStyle w:val="Heading4"/>
      </w:pPr>
      <w:r>
        <w:t xml:space="preserve">Fixed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Credential scan (cred-scan) carrier strips #5, #6, #7.</w:t>
      </w:r>
      <w:r>
        <w:t xml:space="preserve"> </w:t>
      </w:r>
      <w:r>
        <w:t xml:space="preserve">Multiple</w:t>
      </w:r>
      <w:r>
        <w:t xml:space="preserve"> </w:t>
      </w:r>
      <w:r>
        <w:t xml:space="preserve">false-positive carrier-identification bugs in detectors 1 and 2 patched</w:t>
      </w:r>
      <w:r>
        <w:t xml:space="preserve"> </w:t>
      </w:r>
      <w:r>
        <w:t xml:space="preserve">(ATM-864): markdown-word heuristic, proximity-window over-match, and</w:t>
      </w:r>
      <w:r>
        <w:t xml:space="preserve"> </w:t>
      </w:r>
      <w:r>
        <w:t xml:space="preserve">value-starts-with-reference/placeholder sigil.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Workable-items engine fixes:</w:t>
      </w:r>
      <w:r>
        <w:t xml:space="preserve"> </w:t>
      </w:r>
      <w:r>
        <w:t xml:space="preserve">reopen body-preservation, orphaned-bullets</w:t>
      </w:r>
      <w:r>
        <w:t xml:space="preserve"> </w:t>
      </w:r>
      <w:r>
        <w:t xml:space="preserve">(F1), SQL index gaps (missing indexes on status/type/location/attribution),</w:t>
      </w:r>
      <w:r>
        <w:t xml:space="preserve"> </w:t>
      </w:r>
      <w:r>
        <w:t xml:space="preserve">unbounded queries, dot-separator for non-canonical IDs.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SECURITY: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report_item.sh</w:t>
      </w:r>
      <w:r>
        <w:rPr>
          <w:b/>
          <w:bCs/>
        </w:rPr>
        <w:t xml:space="preserve"> </w:t>
      </w:r>
      <w:r>
        <w:rPr>
          <w:b/>
          <w:bCs/>
        </w:rPr>
        <w:t xml:space="preserve">hardened.</w:t>
      </w:r>
      <w:r>
        <w:t xml:space="preserve"> </w:t>
      </w:r>
      <w:r>
        <w:t xml:space="preserve">Replaced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;</w:t>
      </w:r>
      <w:r>
        <w:t xml:space="preserve"> </w:t>
      </w:r>
      <w:r>
        <w:t xml:space="preserve">indirect expansion for credential checks.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Multitrack hardening:</w:t>
      </w:r>
      <w:r>
        <w:t xml:space="preserve"> </w:t>
      </w:r>
      <w:r>
        <w:t xml:space="preserve">owner-lock fix, probe-race fix, config</w:t>
      </w:r>
      <w:r>
        <w:t xml:space="preserve"> </w:t>
      </w:r>
      <w:r>
        <w:t xml:space="preserve">alias-exclusion, conductor-slot exclusion, §11.4.201(4)/§11.4.111 PARSE</w:t>
      </w:r>
      <w:r>
        <w:t xml:space="preserve"> </w:t>
      </w:r>
      <w:r>
        <w:t xml:space="preserve">guard.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Curl timeouts</w:t>
      </w:r>
      <w:r>
        <w:t xml:space="preserve"> </w:t>
      </w:r>
      <w:r>
        <w:t xml:space="preserve">added across the tooling surface.</w:t>
      </w:r>
    </w:p>
    <w:bookmarkEnd w:id="19"/>
    <w:bookmarkStart w:id="20" w:name="docs"/>
    <w:p>
      <w:pPr>
        <w:pStyle w:val="Heading4"/>
      </w:pPr>
      <w:r>
        <w:t xml:space="preserve">Docs</w:t>
      </w:r>
    </w:p>
    <w:p>
      <w:pPr>
        <w:pStyle w:val="Compact"/>
        <w:numPr>
          <w:ilvl w:val="0"/>
          <w:numId w:val="1012"/>
        </w:numPr>
      </w:pPr>
      <w:r>
        <w:t xml:space="preserve">Companion docs for §11.4.141 (</w:t>
      </w:r>
      <w:r>
        <w:rPr>
          <w:rStyle w:val="VerbatimChar"/>
        </w:rPr>
        <w:t xml:space="preserve">scoped_read.sh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token_efficiency_lib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context_compactor</w:t>
      </w:r>
      <w:r>
        <w:t xml:space="preserve">) per §11.4.18.</w:t>
      </w:r>
    </w:p>
    <w:p>
      <w:pPr>
        <w:pStyle w:val="Compact"/>
        <w:numPr>
          <w:ilvl w:val="0"/>
          <w:numId w:val="1012"/>
        </w:numPr>
      </w:pPr>
      <w:r>
        <w:t xml:space="preserve">Pandoc twins regenerated for Rev 54 (§11.4.216–223 amendment).</w:t>
      </w:r>
    </w:p>
    <w:p>
      <w:pPr>
        <w:pStyle w:val="Compact"/>
        <w:numPr>
          <w:ilvl w:val="0"/>
          <w:numId w:val="1012"/>
        </w:numPr>
      </w:pPr>
      <w:r>
        <w:t xml:space="preserve">BG-QUALITY-ROOTCAUSE Phase 4 deliverables documented.</w:t>
      </w:r>
    </w:p>
    <w:bookmarkEnd w:id="20"/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2026-08-18T19:56:36Z</dcterms:created>
  <dcterms:modified xsi:type="dcterms:W3CDTF">2026-08-18T19:56:36Z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