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Constitution</w:t>
      </w:r>
    </w:p>
    <w:bookmarkStart w:id="235"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28</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2026-06-21T00:00:00Z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§11.4.163 — Universal Media Validation &amp; Verification Mandate: every recorded artifact passes MEDIA VALIDATION pipeline (OCR/transcription/text parsing vs SPECIFY-phase patterns, self-validated analyzer §11.4.107(10), structured verdict with pinpoint on FAIL, post-recording+real-time triggers, paired §1.1 mutation). Added §11.4.164 — Universal Constitution Auto-Propagation &amp; Hook System: post_update_hook.sh detects/registers/installs changed skills/MCP/hooks/scripts; consumer invokes after every constitutional pull. Added §11.4.165 — Universal Independent Verification Agent Mandate: every code/media/docs/config output passes INDEPENDENT verifier (§11.4.70/.20, structurally separate), iterates to zero-finding GO (§11.4.134); code=review+build+mutations+runtime-signature, media=pipeline+genuine+format, docs=exports+revision, config=syntax+schema+leaks; verifier self-validated by §1.1 mutation. All Classification: universal (§11.4.17). Propagation gates</w:t>
            </w:r>
            <w:r>
              <w:t xml:space="preserve"> </w:t>
            </w:r>
            <w:r>
              <w:rPr>
                <w:rStyle w:val="VerbatimChar"/>
              </w:rPr>
              <w:t xml:space="preserve">CM-COVENANT-114-163/164/165-PROPAGATION</w:t>
            </w:r>
            <w:r>
              <w:t xml:space="preserve"> </w:t>
            </w:r>
            <w:r>
              <w:t xml:space="preserve">+ recommended per-class gates + paired §1.1 mutations. Prior round: Added §11.4.162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CLAUDE.md + AGENTS.md + QWEN.md + GEMINI.md mirrors updated in lockstep. Prior round: Added §11.4.152 — Crashlytics-recorded-data continuous monitoring + systematic-debug + regression-test-coverage mandate (User mandate 2026-06-13): every project with Firebase Crashlytics enabled/wired MUST continuously monitor ALL four recorded surfaces — fatal crashes, ANRs, performance traces, AND non-fatals — systematic-debug each (reproduce-before-fix §11.4.102/.115), fix/improve, and cover every closure with a permanent §11.4.135 regression guard (RED-on-broken→GREEN-on-fixed) + a closure log citing the console issue id/URL + the validation/verification test paths; on a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the Lava client's §6.O (Crashlytics-Resolved Issue Coverage) + §6.AC (Comprehensive Non-Fatal Telemetry).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w:t>
            </w:r>
            <w:r>
              <w:t xml:space="preserve">(gate-code = separate work item). Classification: universal (§11.4.17). CLAUDE.md + AGENTS.md + QWEN.md mirrors updated in lockstep. Prior round: Added §11.4.151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helix_translate-1.0.0-dev-0.0.1</w:t>
            </w:r>
            <w:r>
              <w:t xml:space="preserve">); prefix resolution order is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the lowercased snake_case project-root dir name §11.4.29; the SAME prefix across main + all owned submodules in one release makes it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w:t>
            </w:r>
            <w:r>
              <w:t xml:space="preserve">(gate-code = separate work item). Classification: universal (§11.4.17). CLAUDE.md + AGENTS.md + QWEN.md mirrors updated in lockstep. Prior round: Added §11.4.148 + §11.4.149 — workable-item integrity + testing-diary family (User mandate 2026-06-10). §11.4.148 Workable-item integrity (status+type+id) + comprehensive structured description + bidirectional external-tracker sync + BLOCKED unblock-choices: BINDS + STRENGTHENS §11.4.15/.16/.21/.54/.91/.93/.95/.106 into ONE integrity contract spanning DB ↔ docs ↔ external tracker — (D1) no item without a valid status + valid type + stable id on ALL three surfaces; (D2) comprehensive structured description (what/manifest/repro/acceptance) in DB + docs + tracker, never a stub; (D3) BLOCKED items carry WHY + enumerated unblock CHOICES (tightens §11.4.21, mirrors §11.4.66 2–4-option shape;</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 fingerprint-gated + §11.4.106 docs_chain-bound; (D5) generic external-tracker push carries statuses (collapsed per §11.4.33/.112)/types/assignee (§11.4.104, default-from-env-var, never logged §11.4.10)/sub-tasks, idempotent dry-run-then-real match-by-stable-key, sink-side</w:t>
            </w:r>
            <w:r>
              <w:t xml:space="preserve"> </w:t>
            </w:r>
            <w:r>
              <w:rPr>
                <w:rStyle w:val="VerbatimChar"/>
              </w:rPr>
              <w:t xml:space="preserve">created/updated/failed</w:t>
            </w:r>
            <w:r>
              <w:t xml:space="preserve"> </w:t>
            </w:r>
            <w:r>
              <w:t xml:space="preserve">proof §11.4.69, machinery project-agnostic §11.4.28. Composes §11.4.15/.16/.21/.33/.34/.54/.66/.86/.91/.93/.95/.104/.106/.112/.123/.10/.28/.69/.6/§1.1. Propagation gate</w:t>
            </w:r>
            <w:r>
              <w:t xml:space="preserve"> </w:t>
            </w:r>
            <w:r>
              <w:rPr>
                <w:rStyle w:val="VerbatimChar"/>
              </w:rPr>
              <w:t xml:space="preserve">CM-COVENANT-114-148-PROPAGATION</w:t>
            </w:r>
            <w:r>
              <w:t xml:space="preserve"> </w:t>
            </w:r>
            <w:r>
              <w:t xml:space="preserve">+ recommended gates</w:t>
            </w:r>
            <w:r>
              <w:t xml:space="preserve"> </w:t>
            </w:r>
            <w:r>
              <w:rPr>
                <w:rStyle w:val="VerbatimChar"/>
              </w:rPr>
              <w:t xml:space="preserve">CM-ITEM-INTEGRITY-STATUS-TYPE-ID</w:t>
            </w:r>
            <w:r>
              <w:t xml:space="preserve">/</w:t>
            </w:r>
            <w:r>
              <w:rPr>
                <w:rStyle w:val="VerbatimChar"/>
              </w:rPr>
              <w:t xml:space="preserve">CM-ITEM-COMPREHENSIVE-DESCRIPTION</w:t>
            </w:r>
            <w:r>
              <w:t xml:space="preserve">/</w:t>
            </w:r>
            <w:r>
              <w:rPr>
                <w:rStyle w:val="VerbatimChar"/>
              </w:rPr>
              <w:t xml:space="preserve">CM-BLOCKED-UNBLOCK-CHOICES</w:t>
            </w:r>
            <w:r>
              <w:t xml:space="preserve">/</w:t>
            </w:r>
            <w:r>
              <w:rPr>
                <w:rStyle w:val="VerbatimChar"/>
              </w:rPr>
              <w:t xml:space="preserve">CM-TRACKER-SYNC-IDEMPOTENT</w:t>
            </w:r>
            <w:r>
              <w:t xml:space="preserve"> </w:t>
            </w:r>
            <w:r>
              <w:t xml:space="preserve">(gate-code = separate work item). §11.4.149 Per-workable-item testing-diary: every item carries an append-only TESTING DIARY (date/time + tested-by + result + in-depth observations + action-taken+why), distinct from §11.4.93 item_history (state) + §11.4.55 Reopens (cycles) — it records TEST EXECUTIONS — (a)</w:t>
            </w:r>
            <w:r>
              <w:t xml:space="preserve"> </w:t>
            </w:r>
            <w:r>
              <w:rPr>
                <w:rStyle w:val="VerbatimChar"/>
              </w:rPr>
              <w:t xml:space="preserve">test_diary</w:t>
            </w:r>
            <w:r>
              <w:t xml:space="preserve"> </w:t>
            </w:r>
            <w:r>
              <w:t xml:space="preserve">table in the §11.4.93/.95 SQLite SSoT with a schema constraint making a PASS-without-evidence-path impossible §11.4.69; (b) in-depth diary + derived at-a-glance summary VIEW feeding §11.4.132 risk-ordering; (c) 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§11.4.86-fingerprinted + §11.4.106 docs_chain-bound (never missed); (d) external-tracker SUB-TASK model with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ATMOSphere Android 15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0"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ATMOSphere's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ATMOSphere's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HelixCode/foo.log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HelixCode/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HelixAgent/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and (iii) every dependency</w:t>
      </w:r>
      <w:r>
        <w:t xml:space="preserve"> </w:t>
      </w:r>
      <w:r>
        <w:t xml:space="preserve">declared by an owned submodule has a corresponding</w:t>
      </w:r>
      <w:r>
        <w:t xml:space="preserve"> </w:t>
      </w:r>
      <w:r>
        <w:t xml:space="preserve">parent-project submodule entry at the canonical path.</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current ATMOSphere consumer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7"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7"/>
    <w:bookmarkStart w:id="98"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8"/>
    <w:bookmarkStart w:id="99"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HelixCode-specific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ATMOSphere;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HelixCode, Catalogizer, Yole,</w:t>
      </w:r>
      <w:r>
        <w:t xml:space="preserve"> </w:t>
      </w:r>
      <w:r>
        <w:t xml:space="preserve">HelixPlay, HelixTranslate, HelixFlow, MeTube, ATMOSphere-Android-15,</w:t>
      </w:r>
      <w:r>
        <w:t xml:space="preserve"> </w:t>
      </w:r>
      <w:r>
        <w:t xml:space="preserve">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9"/>
    <w:bookmarkStart w:id="100"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0"/>
    <w:bookmarkStart w:id="101"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(HelixCode, Catalogizer, Yole, HelixPlay, HelixTranslate, HelixFlow, MeTube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ATMOSphere-Android-15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1"/>
    <w:bookmarkStart w:id="102"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2"/>
    <w:bookmarkStart w:id="103"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3"/>
    <w:bookmarkStart w:id="105"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4">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5"/>
    <w:bookmarkStart w:id="106"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ATMOSphere-Android-15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6"/>
    <w:bookmarkStart w:id="109"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7">
        <w:r>
          <w:rPr>
            <w:rStyle w:val="Hyperlink"/>
          </w:rPr>
          <w:t xml:space="preserve">https://github.com/vasic-digital/containers</w:t>
        </w:r>
      </w:hyperlink>
      <w:r>
        <w:t xml:space="preserve"> </w:t>
      </w:r>
      <w:r>
        <w:t xml:space="preserve">(</w:t>
      </w:r>
      <w:hyperlink r:id="rId108">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9"/>
    <w:bookmarkStart w:id="110"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ATMOSphere-Android-15).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ATMOSphere clone.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0"/>
    <w:bookmarkStart w:id="111"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Lava's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1"/>
    <w:bookmarkStart w:id="112"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2"/>
    <w:bookmarkStart w:id="113"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3"/>
    <w:bookmarkStart w:id="114"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4"/>
    <w:bookmarkStart w:id="124"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5"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5"/>
    <w:bookmarkStart w:id="116"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6"/>
    <w:bookmarkStart w:id="117"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7"/>
    <w:bookmarkStart w:id="118"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8"/>
    <w:bookmarkStart w:id="119"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9"/>
    <w:bookmarkStart w:id="120"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0"/>
    <w:bookmarkStart w:id="121"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1"/>
    <w:bookmarkStart w:id="122"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2"/>
    <w:bookmarkStart w:id="123"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3"/>
    <w:bookmarkEnd w:id="124"/>
    <w:bookmarkStart w:id="125"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5"/>
    <w:bookmarkStart w:id="126"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6"/>
    <w:bookmarkStart w:id="127"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7"/>
    <w:bookmarkStart w:id="128"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8"/>
    <w:bookmarkStart w:id="129"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9"/>
    <w:bookmarkStart w:id="130"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0"/>
    <w:bookmarkStart w:id="13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1"/>
    <w:bookmarkStart w:id="132"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2"/>
    <w:bookmarkStart w:id="133"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3"/>
    <w:bookmarkStart w:id="134"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4"/>
    <w:bookmarkStart w:id="135"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5"/>
    <w:bookmarkStart w:id="136"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6"/>
    <w:bookmarkStart w:id="137"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7"/>
    <w:bookmarkStart w:id="138"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8"/>
    <w:bookmarkStart w:id="139"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9"/>
    <w:bookmarkStart w:id="14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ATMOSphere,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0"/>
    <w:bookmarkStart w:id="142"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1">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ATMOSphere,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p>
      <w:r>
        <w:pict>
          <v:rect style="width:0;height:1.5pt" o:hralign="center" o:hrstd="t" o:hr="t"/>
        </w:pict>
      </w:r>
    </w:p>
    <w:bookmarkEnd w:id="142"/>
    <w:bookmarkStart w:id="143"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3"/>
    <w:bookmarkStart w:id="144"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4"/>
    <w:bookmarkStart w:id="145"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5"/>
    <w:bookmarkStart w:id="146"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ATMOSphere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6"/>
    <w:bookmarkStart w:id="147"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ATMOSphere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7"/>
    <w:bookmarkStart w:id="148"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8"/>
    <w:bookmarkStart w:id="149"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9"/>
    <w:bookmarkStart w:id="150"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0"/>
    <w:bookmarkStart w:id="151"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the Lava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Lava)</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1"/>
    <w:bookmarkStart w:id="152"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2"/>
    <w:bookmarkStart w:id="153"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3"/>
    <w:bookmarkStart w:id="154"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 exists.</w:t>
      </w:r>
    </w:p>
    <w:p>
      <w:r>
        <w:pict>
          <v:rect style="width:0;height:1.5pt" o:hralign="center" o:hrstd="t" o:hr="t"/>
        </w:pict>
      </w:r>
    </w:p>
    <w:bookmarkEnd w:id="154"/>
    <w:bookmarkStart w:id="155"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5"/>
    <w:bookmarkStart w:id="156"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6"/>
    <w:bookmarkStart w:id="157"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7"/>
    <w:bookmarkStart w:id="158"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8"/>
    <w:bookmarkStart w:id="159"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9"/>
    <w:bookmarkStart w:id="160"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0"/>
    <w:bookmarkStart w:id="161"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1"/>
    <w:bookmarkStart w:id="162"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 exists.</w:t>
      </w:r>
    </w:p>
    <w:p>
      <w:r>
        <w:pict>
          <v:rect style="width:0;height:1.5pt" o:hralign="center" o:hrstd="t" o:hr="t"/>
        </w:pict>
      </w:r>
    </w:p>
    <w:bookmarkEnd w:id="162"/>
    <w:bookmarkStart w:id="163"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3"/>
    <w:bookmarkStart w:id="164"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4"/>
    <w:bookmarkStart w:id="165"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5"/>
    <w:bookmarkStart w:id="166"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6"/>
    <w:bookmarkStart w:id="167"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7"/>
    <w:bookmarkStart w:id="168"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8"/>
    <w:bookmarkStart w:id="169"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69"/>
    <w:bookmarkStart w:id="170"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0"/>
    <w:bookmarkStart w:id="171"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1"/>
    <w:bookmarkStart w:id="172"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2"/>
    <w:bookmarkStart w:id="173"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3"/>
    <w:bookmarkStart w:id="174"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4"/>
    <w:bookmarkStart w:id="175"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5"/>
    <w:bookmarkStart w:id="17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6"/>
    <w:bookmarkStart w:id="179"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7">
        <w:r>
          <w:rPr>
            <w:rStyle w:val="Hyperlink"/>
          </w:rPr>
          <w:t xml:space="preserve">https://developers.google.com/solutions/content-driven/backend/testing</w:t>
        </w:r>
      </w:hyperlink>
      <w:r>
        <w:t xml:space="preserve">; AOSP CTS/Tradefed continuous-regression model</w:t>
      </w:r>
      <w:r>
        <w:t xml:space="preserve"> </w:t>
      </w:r>
      <w:hyperlink r:id="rId178">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bookmarkEnd w:id="179"/>
    <w:bookmarkStart w:id="182"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0">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1">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2"/>
    <w:bookmarkStart w:id="189"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3">
        <w:r>
          <w:rPr>
            <w:rStyle w:val="Hyperlink"/>
          </w:rPr>
          <w:t xml:space="preserve">https://developer.android.com/security/fraud-prevention/activities</w:t>
        </w:r>
      </w:hyperlink>
      <w:r>
        <w:t xml:space="preserve">; Nightwatch</w:t>
      </w:r>
      <w:r>
        <w:t xml:space="preserve"> </w:t>
      </w:r>
      <w:hyperlink r:id="rId184">
        <w:r>
          <w:rPr>
            <w:rStyle w:val="Hyperlink"/>
          </w:rPr>
          <w:t xml:space="preserve">https://wwws.nightwatchcybersecurity.com/2016/04/13/research-securing-android-applications-from-screen-capture/</w:t>
        </w:r>
      </w:hyperlink>
      <w:r>
        <w:t xml:space="preserve">; WithSecure</w:t>
      </w:r>
      <w:r>
        <w:t xml:space="preserve"> </w:t>
      </w:r>
      <w:hyperlink r:id="rId185">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6">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7">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8">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89"/>
    <w:bookmarkStart w:id="190"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0"/>
    <w:bookmarkStart w:id="191"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1"/>
    <w:bookmarkStart w:id="192"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additionally recognises three EQUIVALENT forms of every action —</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w:t>
      </w:r>
      <w:r>
        <w:t xml:space="preserve"> </w:t>
      </w:r>
      <w:r>
        <w:t xml:space="preserve">slash),</w:t>
      </w:r>
      <w:r>
        <w:t xml:space="preserve"> </w:t>
      </w:r>
      <w:r>
        <w:rPr>
          <w:rStyle w:val="VerbatimChar"/>
        </w:rPr>
        <w:t xml:space="preserve">/PREFIX::ACTION_NAME &lt;rest&gt;</w:t>
      </w:r>
      <w:r>
        <w:t xml:space="preserve"> </w:t>
      </w:r>
      <w:r>
        <w:t xml:space="preserve">(namespaced slash)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forms</w:t>
      </w:r>
      <w:r>
        <w:t xml:space="preserve"> </w:t>
      </w:r>
      <w:r>
        <w:t xml:space="preserve">3/4 are honoured with the same expansion/execution, the bare slash form yielding</w:t>
      </w:r>
      <w:r>
        <w:t xml:space="preserve"> </w:t>
      </w:r>
      <w:r>
        <w:t xml:space="preserve">to a colliding built-in/host slash command while the namespaced slash form is</w:t>
      </w:r>
      <w:r>
        <w:t xml:space="preserve"> </w:t>
      </w:r>
      <w:r>
        <w:t xml:space="preserve">always unambiguous.</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Decoupled + 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2"/>
    <w:bookmarkStart w:id="193"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3"/>
    <w:bookmarkStart w:id="194"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4"/>
    <w:bookmarkStart w:id="195"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5"/>
    <w:bookmarkStart w:id="196"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6"/>
    <w:bookmarkStart w:id="197"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7"/>
    <w:bookmarkStart w:id="198"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bookmarkEnd w:id="198"/>
    <w:bookmarkStart w:id="199"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199"/>
    <w:bookmarkStart w:id="200"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0"/>
    <w:bookmarkStart w:id="201"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1"/>
    <w:bookmarkStart w:id="202"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2"/>
    <w:bookmarkStart w:id="203"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3"/>
    <w:bookmarkStart w:id="204"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3"/>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the Lava client's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4"/>
    <w:bookmarkStart w:id="205"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5"/>
    <w:bookmarkStart w:id="206"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6"/>
    <w:bookmarkStart w:id="207"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7"/>
    <w:bookmarkStart w:id="208"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8"/>
    <w:bookmarkStart w:id="209"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09"/>
    <w:bookmarkStart w:id="210"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0"/>
    <w:bookmarkStart w:id="211"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4"/>
        </w:numPr>
      </w:pPr>
      <w:r>
        <w:t xml:space="preserve">The expected output patterns ARE present in the recording (e.g., test PASS lines, API response data, feature-specific output)</w:t>
      </w:r>
    </w:p>
    <w:p>
      <w:pPr>
        <w:pStyle w:val="Compact"/>
        <w:numPr>
          <w:ilvl w:val="0"/>
          <w:numId w:val="1254"/>
        </w:numPr>
      </w:pPr>
      <w:r>
        <w:t xml:space="preserve">The feature ACTUALLY WORKS as demonstrated (not just "something ran")</w:t>
      </w:r>
    </w:p>
    <w:p>
      <w:pPr>
        <w:pStyle w:val="Compact"/>
        <w:numPr>
          <w:ilvl w:val="0"/>
          <w:numId w:val="1254"/>
        </w:numPr>
      </w:pPr>
      <w:r>
        <w:t xml:space="preserve">LLM responses are REAL content (not simulated, not placeholder, not empty)</w:t>
      </w:r>
    </w:p>
    <w:p>
      <w:pPr>
        <w:pStyle w:val="Compact"/>
        <w:numPr>
          <w:ilvl w:val="0"/>
          <w:numId w:val="1254"/>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5"/>
        </w:numPr>
      </w:pPr>
      <w:r>
        <w:t xml:space="preserve">SPECIFY expected content patterns (what SHOULD appear)</w:t>
      </w:r>
    </w:p>
    <w:p>
      <w:pPr>
        <w:pStyle w:val="Compact"/>
        <w:numPr>
          <w:ilvl w:val="0"/>
          <w:numId w:val="1255"/>
        </w:numPr>
      </w:pPr>
      <w:r>
        <w:t xml:space="preserve">RECORD the feature execution</w:t>
      </w:r>
    </w:p>
    <w:p>
      <w:pPr>
        <w:pStyle w:val="Compact"/>
        <w:numPr>
          <w:ilvl w:val="0"/>
          <w:numId w:val="1255"/>
        </w:numPr>
      </w:pPr>
      <w:r>
        <w:t xml:space="preserve">EXTRACT all text from the recording</w:t>
      </w:r>
    </w:p>
    <w:p>
      <w:pPr>
        <w:pStyle w:val="Compact"/>
        <w:numPr>
          <w:ilvl w:val="0"/>
          <w:numId w:val="1255"/>
        </w:numPr>
      </w:pPr>
      <w:r>
        <w:t xml:space="preserve">VERIFY expected patterns are present</w:t>
      </w:r>
    </w:p>
    <w:p>
      <w:pPr>
        <w:pStyle w:val="Compact"/>
        <w:numPr>
          <w:ilvl w:val="0"/>
          <w:numId w:val="1255"/>
        </w:numPr>
      </w:pPr>
      <w:r>
        <w:t xml:space="preserve">CHECK for simulated/placeholder content</w:t>
      </w:r>
    </w:p>
    <w:p>
      <w:pPr>
        <w:pStyle w:val="Compact"/>
        <w:numPr>
          <w:ilvl w:val="0"/>
          <w:numId w:val="1255"/>
        </w:numPr>
      </w:pPr>
      <w:r>
        <w:t xml:space="preserve">ACCEPT only if ALL patterns found AND zero bluffs detected</w:t>
      </w:r>
    </w:p>
    <w:p>
      <w:pPr>
        <w:pStyle w:val="Compact"/>
        <w:numPr>
          <w:ilvl w:val="0"/>
          <w:numId w:val="1255"/>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1"/>
    <w:bookmarkStart w:id="212"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6"/>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6"/>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6"/>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6"/>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6"/>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2"/>
    <w:bookmarkStart w:id="213"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3"/>
    <w:bookmarkStart w:id="215"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4">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57"/>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57"/>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57"/>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5"/>
    <w:bookmarkStart w:id="216"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6"/>
    <w:bookmarkStart w:id="217"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7"/>
    <w:bookmarkStart w:id="219"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Universal Semgrep static analysis mandate (User mandate, 2026-06-21).</w:t>
      </w:r>
      <w:r>
        <w:t xml:space="preserve"> </w:t>
      </w:r>
      <w:r>
        <w:t xml:space="preserve">Verbatim operator mandate: "semgrep MUST be available and used by all projects governed by this Constitution for static analysis / security scanning of all code changes, before any commit or push to any upstream! semgrep MUST be a MANDATORY tool installed on every development host, auto-configured, built if needed, and available on the system PATH for ALL users via .bashrc/.zshrc integration."</w:t>
      </w:r>
    </w:p>
    <w:p>
      <w:pPr>
        <w:pStyle w:val="BodyText"/>
      </w:pPr>
      <w:r>
        <w:t xml:space="preserve">Every consuming project under this Constitution MUST ensure Semgrep (</w:t>
      </w:r>
      <w:hyperlink r:id="rId218">
        <w:r>
          <w:rPr>
            <w:rStyle w:val="Hyperlink"/>
          </w:rPr>
          <w:t xml:space="preserve">https://github.com/semgrep/semgrep</w:t>
        </w:r>
      </w:hyperlink>
      <w:r>
        <w:t xml:space="preserve">) is installed, configured, and available on the system PATH for every user. (1)</w:t>
      </w:r>
      <w:r>
        <w:t xml:space="preserve"> </w:t>
      </w:r>
      <w:r>
        <w:rPr>
          <w:b/>
          <w:bCs/>
        </w:rPr>
        <w:t xml:space="preserve">Installation</w:t>
      </w:r>
      <w:r>
        <w:t xml:space="preserve"> </w:t>
      </w:r>
      <w:r>
        <w:t xml:space="preserve">—</w:t>
      </w:r>
      <w:r>
        <w:t xml:space="preserve"> </w:t>
      </w:r>
      <w:r>
        <w:rPr>
          <w:rStyle w:val="VerbatimChar"/>
        </w:rPr>
        <w:t xml:space="preserve">pip install --user semgrep</w:t>
      </w:r>
      <w:r>
        <w:t xml:space="preserve"> </w:t>
      </w:r>
      <w:r>
        <w:t xml:space="preserve">is the fast path. The constitution submodule provides</w:t>
      </w:r>
      <w:r>
        <w:t xml:space="preserve"> </w:t>
      </w:r>
      <w:r>
        <w:rPr>
          <w:rStyle w:val="VerbatimChar"/>
        </w:rPr>
        <w:t xml:space="preserve">scripts/semgrep/semgrep_setup.sh</w:t>
      </w:r>
      <w:r>
        <w:t xml:space="preserve"> </w:t>
      </w:r>
      <w:r>
        <w:t xml:space="preserve">(auto-detects pip or builds from submodule). (2)</w:t>
      </w:r>
      <w:r>
        <w:t xml:space="preserve"> </w:t>
      </w:r>
      <w:r>
        <w:rPr>
          <w:b/>
          <w:bCs/>
        </w:rPr>
        <w:t xml:space="preserve">PATH integration</w:t>
      </w:r>
      <w:r>
        <w:t xml:space="preserve"> </w:t>
      </w:r>
      <w:r>
        <w:t xml:space="preserve">— source</w:t>
      </w:r>
      <w:r>
        <w:t xml:space="preserve"> </w:t>
      </w:r>
      <w:r>
        <w:rPr>
          <w:rStyle w:val="VerbatimChar"/>
        </w:rPr>
        <w:t xml:space="preserve">scripts/semgrep/semgrep_path.sh</w:t>
      </w:r>
      <w:r>
        <w:t xml:space="preserve"> </w:t>
      </w:r>
      <w:r>
        <w:t xml:space="preserve">from</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to ensure semgrep is on every user's PATH. A post-clone/post-pull hook MUST auto-source this. (3)</w:t>
      </w:r>
      <w:r>
        <w:t xml:space="preserve"> </w:t>
      </w:r>
      <w:r>
        <w:rPr>
          <w:b/>
          <w:bCs/>
        </w:rPr>
        <w:t xml:space="preserve">Scan before every commit+push</w:t>
      </w:r>
      <w:r>
        <w:t xml:space="preserve"> </w:t>
      </w:r>
      <w:r>
        <w:t xml:space="preserve">— every commit wrapper AND pre-push hook MUST run</w:t>
      </w:r>
      <w:r>
        <w:t xml:space="preserve"> </w:t>
      </w:r>
      <w:r>
        <w:rPr>
          <w:rStyle w:val="VerbatimChar"/>
        </w:rPr>
        <w:t xml:space="preserve">semgrep scan --config auto --error</w:t>
      </w:r>
      <w:r>
        <w:t xml:space="preserve"> </w:t>
      </w:r>
      <w:r>
        <w:t xml:space="preserve">on the staged/committed diff and BLOCK the commit/push (non-zero exit) on any finding. The pre-commit hook at</w:t>
      </w:r>
      <w:r>
        <w:t xml:space="preserve"> </w:t>
      </w:r>
      <w:r>
        <w:rPr>
          <w:rStyle w:val="VerbatimChar"/>
        </w:rPr>
        <w:t xml:space="preserve">scripts/hooks/pre-commit</w:t>
      </w:r>
      <w:r>
        <w:t xml:space="preserve"> </w:t>
      </w:r>
      <w:r>
        <w:t xml:space="preserve">is the canonical integration point. (4)</w:t>
      </w:r>
      <w:r>
        <w:t xml:space="preserve"> </w:t>
      </w:r>
      <w:r>
        <w:rPr>
          <w:b/>
          <w:bCs/>
        </w:rPr>
        <w:t xml:space="preserve">MCP integration</w:t>
      </w:r>
      <w:r>
        <w:t xml:space="preserve"> </w:t>
      </w:r>
      <w:r>
        <w:t xml:space="preserve">— the Semgrep MCP (</w:t>
      </w:r>
      <w:r>
        <w:rPr>
          <w:rStyle w:val="VerbatimChar"/>
        </w:rPr>
        <w:t xml:space="preserve">semgrep_scan</w:t>
      </w:r>
      <w:r>
        <w:t xml:space="preserve">,</w:t>
      </w:r>
      <w:r>
        <w:t xml:space="preserve"> </w:t>
      </w:r>
      <w:r>
        <w:rPr>
          <w:rStyle w:val="VerbatimChar"/>
        </w:rPr>
        <w:t xml:space="preserve">semgrep_findings</w:t>
      </w:r>
      <w:r>
        <w:t xml:space="preserve">,</w:t>
      </w:r>
      <w:r>
        <w:t xml:space="preserve"> </w:t>
      </w:r>
      <w:r>
        <w:rPr>
          <w:rStyle w:val="VerbatimChar"/>
        </w:rPr>
        <w:t xml:space="preserve">semgrep_scan_with_custom_rule</w:t>
      </w:r>
      <w:r>
        <w:t xml:space="preserve"> </w:t>
      </w:r>
      <w:r>
        <w:t xml:space="preserve">tools) MUST be connected to every CLI agent used by developers per the same agent-wiring pattern as CodeGraph (§11.4.78 step 3). (5)</w:t>
      </w:r>
      <w:r>
        <w:t xml:space="preserve"> </w:t>
      </w:r>
      <w:r>
        <w:rPr>
          <w:b/>
          <w:bCs/>
        </w:rPr>
        <w:t xml:space="preserve">Anti-bluff validation</w:t>
      </w:r>
      <w:r>
        <w:t xml:space="preserve"> </w:t>
      </w:r>
      <w:r>
        <w:t xml:space="preserve">—</w:t>
      </w:r>
      <w:r>
        <w:t xml:space="preserve"> </w:t>
      </w:r>
      <w:r>
        <w:rPr>
          <w:rStyle w:val="VerbatimChar"/>
        </w:rPr>
        <w:t xml:space="preserve">scripts/semgrep/semgrep_validate.sh</w:t>
      </w:r>
      <w:r>
        <w:t xml:space="preserve"> </w:t>
      </w:r>
      <w:r>
        <w:t xml:space="preserve">verifies semgrep is installed, functional, registry-reachable, and the pre-commit hook fires, all with captured evidence per §11.4.69. (6)</w:t>
      </w:r>
      <w:r>
        <w:t xml:space="preserve"> </w:t>
      </w:r>
      <w:r>
        <w:rPr>
          <w:b/>
          <w:bCs/>
        </w:rPr>
        <w:t xml:space="preserve">docs_chain</w:t>
      </w:r>
      <w:r>
        <w:t xml:space="preserve"> </w:t>
      </w:r>
      <w:r>
        <w:t xml:space="preserve">— a</w:t>
      </w:r>
      <w:r>
        <w:t xml:space="preserve"> </w:t>
      </w:r>
      <w:r>
        <w:rPr>
          <w:rStyle w:val="VerbatimChar"/>
        </w:rPr>
        <w:t xml:space="preserve">.docs_chain/contexts/semgrep_status.yaml</w:t>
      </w:r>
      <w:r>
        <w:t xml:space="preserve"> </w:t>
      </w:r>
      <w:r>
        <w:t xml:space="preserve">context registers the semgrep integration for docs_chain auto-sync. (7)</w:t>
      </w:r>
      <w:r>
        <w:t xml:space="preserve"> </w:t>
      </w:r>
      <w:r>
        <w:rPr>
          <w:b/>
          <w:bCs/>
        </w:rPr>
        <w:t xml:space="preserve">Constitution as single source</w:t>
      </w:r>
      <w:r>
        <w:t xml:space="preserve"> </w:t>
      </w:r>
      <w:r>
        <w:t xml:space="preserve">— semgrep submodule pointer + build/install scripts + PATH integration + hook wiring all live in the constitution submodule, inherited by reference per §11.4.28/§11.4.35. Consuming projects invoke at</w:t>
      </w:r>
      <w:r>
        <w:t xml:space="preserve"> </w:t>
      </w:r>
      <w:r>
        <w:rPr>
          <w:rStyle w:val="VerbatimChar"/>
        </w:rPr>
        <w:t xml:space="preserve">$CONST_DIR/scripts/semgrep/*.sh</w:t>
      </w:r>
      <w:r>
        <w:t xml:space="preserve">, never copy.</w:t>
      </w:r>
    </w:p>
    <w:p>
      <w:pPr>
        <w:pStyle w:val="BodyText"/>
      </w:pPr>
      <w:r>
        <w:t xml:space="preserve">Classification: universal (§11.4.17). Propagation gate</w:t>
      </w:r>
      <w:r>
        <w:t xml:space="preserve"> </w:t>
      </w:r>
      <w:r>
        <w:rPr>
          <w:rStyle w:val="VerbatimChar"/>
        </w:rPr>
        <w:t xml:space="preserve">CM-COVENANT-114-166-PROPAGATION</w:t>
      </w:r>
      <w:r>
        <w:t xml:space="preserve"> </w:t>
      </w:r>
      <w:r>
        <w:t xml:space="preserve">+ recommended gate</w:t>
      </w:r>
      <w:r>
        <w:t xml:space="preserve"> </w:t>
      </w:r>
      <w:r>
        <w:rPr>
          <w:rStyle w:val="VerbatimChar"/>
        </w:rPr>
        <w:t xml:space="preserve">CM-SEMGREP-WIRED</w:t>
      </w:r>
      <w:r>
        <w:t xml:space="preserve"> </w:t>
      </w:r>
      <w:r>
        <w:t xml:space="preserve">(semgrep on PATH + pre-commit hook fires + scan blocks on real findings). Paired §1.1 meta-test mutation.</w:t>
      </w:r>
    </w:p>
    <w:p>
      <w:pPr>
        <w:pStyle w:val="BodyText"/>
      </w:pPr>
      <w:r>
        <w:t xml:space="preserve">Composes §11.4.78/.79/.80/.10/.27/.28/.30/.35/.65/.69/.77/.106/.109/.125/.142/.</w:t>
      </w:r>
    </w:p>
    <w:p>
      <w:r>
        <w:pict>
          <v:rect style="width:0;height:1.5pt" o:hralign="center" o:hrstd="t" o:hr="t"/>
        </w:pict>
      </w:r>
    </w:p>
    <w:bookmarkEnd w:id="219"/>
    <w:bookmarkEnd w:id="220"/>
    <w:bookmarkStart w:id="226"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1" w:name="X640b987b10e4125fcb31e634132cde704275e3c"/>
    <w:p>
      <w:pPr>
        <w:pStyle w:val="Heading3"/>
      </w:pPr>
      <w:r>
        <w:t xml:space="preserve">§12.1 Forbidden operations — directly OR indirectly</w:t>
      </w:r>
    </w:p>
    <w:p>
      <w:pPr>
        <w:pStyle w:val="Compact"/>
        <w:numPr>
          <w:ilvl w:val="0"/>
          <w:numId w:val="1258"/>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58"/>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58"/>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58"/>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58"/>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58"/>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1"/>
    <w:bookmarkStart w:id="222"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59"/>
        </w:numPr>
      </w:pPr>
      <w:r>
        <w:t xml:space="preserve">Source the project's host-safety helper library at the top.</w:t>
      </w:r>
    </w:p>
    <w:p>
      <w:pPr>
        <w:pStyle w:val="Compact"/>
        <w:numPr>
          <w:ilvl w:val="0"/>
          <w:numId w:val="1259"/>
        </w:numPr>
      </w:pPr>
      <w:r>
        <w:t xml:space="preserve">Call its pre-flight check and</w:t>
      </w:r>
      <w:r>
        <w:t xml:space="preserve"> </w:t>
      </w:r>
      <w:r>
        <w:rPr>
          <w:b/>
          <w:bCs/>
        </w:rPr>
        <w:t xml:space="preserve">abort if it fails</w:t>
      </w:r>
      <w:r>
        <w:t xml:space="preserve">.</w:t>
      </w:r>
    </w:p>
    <w:p>
      <w:pPr>
        <w:pStyle w:val="Compact"/>
        <w:numPr>
          <w:ilvl w:val="0"/>
          <w:numId w:val="1259"/>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59"/>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2"/>
    <w:bookmarkStart w:id="223"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0"/>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0"/>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0"/>
        </w:numPr>
      </w:pPr>
      <w:r>
        <w:t xml:space="preserve">Use exponential-backoff restart policies, never immediate retry.</w:t>
      </w:r>
    </w:p>
    <w:p>
      <w:pPr>
        <w:pStyle w:val="Compact"/>
        <w:numPr>
          <w:ilvl w:val="0"/>
          <w:numId w:val="1260"/>
        </w:numPr>
      </w:pPr>
      <w:r>
        <w:t xml:space="preserve">Be clean-slate destroyed and rebuilt after any host crash or</w:t>
      </w:r>
      <w:r>
        <w:t xml:space="preserve"> </w:t>
      </w:r>
      <w:r>
        <w:t xml:space="preserve">session loss so stale lock files don't keep producing failures.</w:t>
      </w:r>
    </w:p>
    <w:bookmarkEnd w:id="223"/>
    <w:bookmarkStart w:id="224"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1"/>
        </w:numPr>
      </w:pPr>
      <w:r>
        <w:rPr>
          <w:rStyle w:val="VerbatimChar"/>
        </w:rPr>
        <w:t xml:space="preserve">HOST_SAFETY_MAX_MEM_PCT</w:t>
      </w:r>
      <w:r>
        <w:t xml:space="preserve"> </w:t>
      </w:r>
      <w:r>
        <w:t xml:space="preserve">defaults to 60.</w:t>
      </w:r>
    </w:p>
    <w:p>
      <w:pPr>
        <w:pStyle w:val="Compact"/>
        <w:numPr>
          <w:ilvl w:val="0"/>
          <w:numId w:val="1261"/>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1"/>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1"/>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1"/>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4"/>
    <w:bookmarkStart w:id="225"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2"/>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2"/>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2"/>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2"/>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2"/>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2"/>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p>
      <w:r>
        <w:pict>
          <v:rect style="width:0;height:1.5pt" o:hralign="center" o:hrstd="t" o:hr="t"/>
        </w:pict>
      </w:r>
    </w:p>
    <w:bookmarkEnd w:id="225"/>
    <w:bookmarkEnd w:id="226"/>
    <w:bookmarkStart w:id="232"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3"/>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3"/>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3"/>
        </w:numPr>
      </w:pPr>
      <w:r>
        <w:t xml:space="preserve">Open-source mutation testers worth studying:</w:t>
      </w:r>
    </w:p>
    <w:p>
      <w:pPr>
        <w:pStyle w:val="Compact"/>
        <w:numPr>
          <w:ilvl w:val="1"/>
          <w:numId w:val="1264"/>
        </w:numPr>
      </w:pPr>
      <w:r>
        <w:rPr>
          <w:b/>
          <w:bCs/>
        </w:rPr>
        <w:t xml:space="preserve">PIT</w:t>
      </w:r>
      <w:r>
        <w:t xml:space="preserve"> </w:t>
      </w:r>
      <w:r>
        <w:t xml:space="preserve">(Java) —</w:t>
      </w:r>
      <w:r>
        <w:t xml:space="preserve"> </w:t>
      </w:r>
      <w:hyperlink r:id="rId227">
        <w:r>
          <w:rPr>
            <w:rStyle w:val="Hyperlink"/>
          </w:rPr>
          <w:t xml:space="preserve">https://pitest.org/</w:t>
        </w:r>
      </w:hyperlink>
    </w:p>
    <w:p>
      <w:pPr>
        <w:pStyle w:val="Compact"/>
        <w:numPr>
          <w:ilvl w:val="1"/>
          <w:numId w:val="1264"/>
        </w:numPr>
      </w:pPr>
      <w:r>
        <w:rPr>
          <w:b/>
          <w:bCs/>
        </w:rPr>
        <w:t xml:space="preserve">Stryker</w:t>
      </w:r>
      <w:r>
        <w:t xml:space="preserve"> </w:t>
      </w:r>
      <w:r>
        <w:t xml:space="preserve">(JS / C# / Scala) —</w:t>
      </w:r>
      <w:r>
        <w:t xml:space="preserve"> </w:t>
      </w:r>
      <w:hyperlink r:id="rId228">
        <w:r>
          <w:rPr>
            <w:rStyle w:val="Hyperlink"/>
          </w:rPr>
          <w:t xml:space="preserve">https://stryker-mutator.io/</w:t>
        </w:r>
      </w:hyperlink>
    </w:p>
    <w:p>
      <w:pPr>
        <w:pStyle w:val="Compact"/>
        <w:numPr>
          <w:ilvl w:val="1"/>
          <w:numId w:val="1264"/>
        </w:numPr>
      </w:pPr>
      <w:r>
        <w:rPr>
          <w:b/>
          <w:bCs/>
        </w:rPr>
        <w:t xml:space="preserve">Cosmic Ray</w:t>
      </w:r>
      <w:r>
        <w:t xml:space="preserve"> </w:t>
      </w:r>
      <w:r>
        <w:t xml:space="preserve">(Python) —</w:t>
      </w:r>
      <w:r>
        <w:t xml:space="preserve"> </w:t>
      </w:r>
      <w:hyperlink r:id="rId229">
        <w:r>
          <w:rPr>
            <w:rStyle w:val="Hyperlink"/>
          </w:rPr>
          <w:t xml:space="preserve">https://github.com/sixty-north/cosmic-ray</w:t>
        </w:r>
      </w:hyperlink>
    </w:p>
    <w:p>
      <w:pPr>
        <w:pStyle w:val="Compact"/>
        <w:numPr>
          <w:ilvl w:val="1"/>
          <w:numId w:val="1264"/>
        </w:numPr>
      </w:pPr>
      <w:r>
        <w:rPr>
          <w:b/>
          <w:bCs/>
        </w:rPr>
        <w:t xml:space="preserve">mutmut</w:t>
      </w:r>
      <w:r>
        <w:t xml:space="preserve"> </w:t>
      </w:r>
      <w:r>
        <w:t xml:space="preserve">(Python) —</w:t>
      </w:r>
      <w:r>
        <w:t xml:space="preserve"> </w:t>
      </w:r>
      <w:hyperlink r:id="rId230">
        <w:r>
          <w:rPr>
            <w:rStyle w:val="Hyperlink"/>
          </w:rPr>
          <w:t xml:space="preserve">https://mutmut.readthedocs.io/</w:t>
        </w:r>
      </w:hyperlink>
    </w:p>
    <w:p>
      <w:pPr>
        <w:pStyle w:val="Compact"/>
        <w:numPr>
          <w:ilvl w:val="1"/>
          <w:numId w:val="1264"/>
        </w:numPr>
      </w:pPr>
      <w:r>
        <w:rPr>
          <w:b/>
          <w:bCs/>
        </w:rPr>
        <w:t xml:space="preserve">mull</w:t>
      </w:r>
      <w:r>
        <w:t xml:space="preserve"> </w:t>
      </w:r>
      <w:r>
        <w:t xml:space="preserve">(LLVM-IR) —</w:t>
      </w:r>
      <w:r>
        <w:t xml:space="preserve"> </w:t>
      </w:r>
      <w:hyperlink r:id="rId231">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2"/>
    <w:bookmarkStart w:id="233"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r>
        <w:pict>
          <v:rect style="width:0;height:1.5pt" o:hralign="center" o:hrstd="t" o:hr="t"/>
        </w:pict>
      </w:r>
    </w:p>
    <w:bookmarkEnd w:id="233"/>
    <w:bookmarkStart w:id="234"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4" Target="https://github.com/nexu-io/open-design" TargetMode="External" /><Relationship Type="http://schemas.openxmlformats.org/officeDocument/2006/relationships/hyperlink" Id="rId218" Target="https://github.com/semgrep/semgrep" TargetMode="External" /><Relationship Type="http://schemas.openxmlformats.org/officeDocument/2006/relationships/hyperlink" Id="rId229"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31" Target="https://mull.readthedocs.io/" TargetMode="External" /><Relationship Type="http://schemas.openxmlformats.org/officeDocument/2006/relationships/hyperlink" Id="rId230" Target="https://mutmut.readthedocs.io/" TargetMode="External" /><Relationship Type="http://schemas.openxmlformats.org/officeDocument/2006/relationships/hyperlink" Id="rId227"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28"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4" Target="https://github.com/nexu-io/open-design" TargetMode="External" /><Relationship Type="http://schemas.openxmlformats.org/officeDocument/2006/relationships/hyperlink" Id="rId218" Target="https://github.com/semgrep/semgrep" TargetMode="External" /><Relationship Type="http://schemas.openxmlformats.org/officeDocument/2006/relationships/hyperlink" Id="rId229"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31" Target="https://mull.readthedocs.io/" TargetMode="External" /><Relationship Type="http://schemas.openxmlformats.org/officeDocument/2006/relationships/hyperlink" Id="rId230" Target="https://mutmut.readthedocs.io/" TargetMode="External" /><Relationship Type="http://schemas.openxmlformats.org/officeDocument/2006/relationships/hyperlink" Id="rId227"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28"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Constitution</dc:title>
  <dc:creator/>
  <dc:language>en</dc:language>
  <cp:keywords/>
  <dcterms:created xsi:type="dcterms:W3CDTF">2026-06-21T21:33:10Z</dcterms:created>
  <dcterms:modified xsi:type="dcterms:W3CDTF">2026-06-21T21:33:10Z</dcterms:modified>
</cp:coreProperties>
</file>

<file path=docProps/custom.xml><?xml version="1.0" encoding="utf-8"?>
<Properties xmlns="http://schemas.openxmlformats.org/officeDocument/2006/custom-properties" xmlns:vt="http://schemas.openxmlformats.org/officeDocument/2006/docPropsVTypes"/>
</file>