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Helix Constitution — Universal CLAUDE.md</w:t>
      </w:r>
    </w:p>
    <w:bookmarkStart w:id="71"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2026-05-20</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Mirrored Constitution.md §11.4.76 (containers-submodule mandate) into this CLAUDE.md. §11.4.73 + §11.4.74 + §11.4.75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§11.4.73 + §11.4.74 + §11.4.75 + §11.4.76 mirrors</w:t>
            </w:r>
          </w:p>
        </w:tc>
      </w:tr>
      <w:tr>
        <w:tc>
          <w:tcPr/>
          <w:p>
            <w:pPr>
              <w:pStyle w:val="Compact"/>
            </w:pPr>
            <w:r>
              <w:t xml:space="preserve">Fixed summary</w:t>
            </w:r>
          </w:p>
        </w:tc>
        <w:tc>
          <w:tcPr/>
          <w:p>
            <w:pPr>
              <w:pStyle w:val="Compact"/>
            </w:pPr>
            <w:r>
              <w:t xml:space="preserve">§11.4.76 lands in lockstep with the Constitution.md addition + QWEN.md creation.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BodyText"/>
      </w:pPr>
      <w:r>
        <w:rPr>
          <w:b/>
          <w:bCs/>
        </w:rPr>
        <w:t xml:space="preserve">§11.4.48 — UI-driven video testing mandate (User mandate, 2026-05-18)</w:t>
      </w:r>
    </w:p>
    <w:p>
      <w:pPr>
        <w:pStyle w:val="BodyText"/>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5"/>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§11.4.48.</w:t>
      </w:r>
    </w:p>
    <w:p>
      <w:pPr>
        <w:pStyle w:val="BodyText"/>
      </w:pPr>
      <w:r>
        <w:t xml:space="preserve">Non-compliance is a release blocker regardless of context.</w:t>
      </w:r>
    </w:p>
    <w:p>
      <w:pPr>
        <w:pStyle w:val="BodyText"/>
      </w:pPr>
      <w:r>
        <w:rPr>
          <w:b/>
          <w:bCs/>
        </w:rPr>
        <w:t xml:space="preserve">§11.4.49 — Dual-approach testing mandate (User mandate, 2026-05-18)</w:t>
      </w:r>
    </w:p>
    <w:p>
      <w:pPr>
        <w:pStyle w:val="BodyText"/>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w:t>
      </w:r>
    </w:p>
    <w:p>
      <w:pPr>
        <w:pStyle w:val="BodyText"/>
      </w:pPr>
      <w:r>
        <w:t xml:space="preserve">Shared assertion base at</w:t>
      </w:r>
      <w:r>
        <w:t xml:space="preserve"> </w:t>
      </w:r>
      <w:r>
        <w:rPr>
          <w:rStyle w:val="VerbatimChar"/>
        </w:rPr>
        <w:t xml:space="preserve">tests/lib/dual_approach_test_base.sh</w:t>
      </w:r>
      <w:r>
        <w:t xml:space="preserv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 Both variants gather identical evidence into mirror</w:t>
      </w:r>
      <w:r>
        <w:t xml:space="preserve"> </w:t>
      </w:r>
      <w:r>
        <w:t xml:space="preserve">directories</w:t>
      </w:r>
      <w:r>
        <w:t xml:space="preserve"> </w:t>
      </w:r>
      <w:r>
        <w:rPr>
          <w:rStyle w:val="VerbatimChar"/>
        </w:rPr>
        <w:t xml:space="preserve">qa-results/dual_approach/&lt;F&gt;/&lt;run-ts&gt;/{ui,intent}/</w:t>
      </w:r>
      <w:r>
        <w:t xml:space="preserve"> </w:t>
      </w:r>
      <w:r>
        <w:t xml:space="preserve">so the orchestrator diffs results and pinpoints which half of</w:t>
      </w:r>
      <w:r>
        <w:t xml:space="preserve"> </w:t>
      </w:r>
      <w:r>
        <w:t xml:space="preserve">the stack contains a bug.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w:t>
      </w:r>
    </w:p>
    <w:p>
      <w:pPr>
        <w:pStyle w:val="BodyText"/>
      </w:pPr>
      <w:r>
        <w:t xml:space="preserve">Pre-build gates:</w:t>
      </w:r>
      <w:r>
        <w:t xml:space="preserve"> </w:t>
      </w:r>
      <w:r>
        <w:rPr>
          <w:rStyle w:val="VerbatimChar"/>
        </w:rPr>
        <w:t xml:space="preserve">CM-COVENANT-114-49-PROPAGATION</w:t>
      </w:r>
      <w:r>
        <w:t xml:space="preserve"> </w:t>
      </w:r>
      <w:r>
        <w:t xml:space="preserve">(anchor across</w:t>
      </w:r>
      <w:r>
        <w:t xml:space="preserve"> </w:t>
      </w:r>
      <w:r>
        <w:t xml:space="preserve">parent + 42 consumer files) +</w:t>
      </w:r>
      <w:r>
        <w:t xml:space="preserve"> </w:t>
      </w:r>
      <w:r>
        <w:rPr>
          <w:rStyle w:val="VerbatimChar"/>
        </w:rPr>
        <w:t xml:space="preserve">CM-AF-DUAL-APPROACH-COVERAGE</w:t>
      </w:r>
      <w:r>
        <w:t xml:space="preserve"> </w:t>
      </w:r>
      <w:r>
        <w:t xml:space="preserve">(shared base contract) +</w:t>
      </w:r>
      <w:r>
        <w:t xml:space="preserve"> </w:t>
      </w:r>
      <w:r>
        <w:rPr>
          <w:rStyle w:val="VerbatimChar"/>
        </w:rPr>
        <w:t xml:space="preserve">CM-AF-KINOPOISK-5-1-DUAL-COVERAGE</w:t>
      </w:r>
      <w:r>
        <w:t xml:space="preserve"> </w:t>
      </w:r>
      <w:r>
        <w:t xml:space="preserve">(both variants exist + share the base). Three paired meta-test</w:t>
      </w:r>
      <w:r>
        <w:t xml:space="preserve"> </w:t>
      </w:r>
      <w:r>
        <w:t xml:space="preserve">mutations.</w:t>
      </w:r>
    </w:p>
    <w:p>
      <w:pPr>
        <w:pStyle w:val="BodyText"/>
      </w:pPr>
      <w:r>
        <w:t xml:space="preserve">No escape hatch — 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§11.4.49.</w:t>
      </w:r>
    </w:p>
    <w:p>
      <w:pPr>
        <w:pStyle w:val="BodyText"/>
      </w:pPr>
      <w:r>
        <w:t xml:space="preserve">Non-compliance is a release blocker regardless of context.</w:t>
      </w:r>
    </w:p>
    <w:p>
      <w:pPr>
        <w:pStyle w:val="BodyText"/>
      </w:pPr>
      <w:r>
        <w:rPr>
          <w:b/>
          <w:bCs/>
        </w:rPr>
        <w:t xml:space="preserve">§11.4.50 — Deterministic consistency mandate (User mandate, 2026-05-18)</w:t>
      </w:r>
    </w:p>
    <w:p>
      <w:pPr>
        <w:pStyle w:val="BodyText"/>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 &lt;test_name&gt; &lt;N&gt; &lt;fn&gt; [args...]</w:t>
      </w:r>
      <w:r>
        <w:t xml:space="preserve"> </w:t>
      </w:r>
      <w:r>
        <w:t xml:space="preserve">helper in the project anti-bluff library loops, captures evidence-hash</w:t>
      </w:r>
      <w:r>
        <w:t xml:space="preserve"> </w:t>
      </w:r>
      <w:r>
        <w:t xml:space="preserve">per iter, asserts all N hashes + exit codes identical. NO operator-</w:t>
      </w:r>
      <w:r>
        <w:t xml:space="preserve"> </w:t>
      </w:r>
      <w:r>
        <w:t xml:space="preserve">facing escape converts 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§11.4.50.</w:t>
      </w:r>
    </w:p>
    <w:p>
      <w:pPr>
        <w:pStyle w:val="BodyText"/>
      </w:pPr>
      <w:r>
        <w:t xml:space="preserve">Non-compliance is a release blocker regardless of context.</w:t>
      </w:r>
    </w:p>
    <w:p>
      <w:pPr>
        <w:pStyle w:val="BodyText"/>
      </w:pPr>
      <w:r>
        <w:rPr>
          <w:b/>
          <w:bCs/>
        </w:rPr>
        <w:t xml:space="preserve">§11.4.51 — Live-ADB-First Maximization Mandate (User mandate, 2026-05-18)</w:t>
      </w:r>
    </w:p>
    <w:p>
      <w:pPr>
        <w:pStyle w:val="BodyText"/>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 atmosphere-</w:t>
      </w:r>
      <w:r>
        <w:t xml:space="preserve"> </w:t>
      </w:r>
      <w:r>
        <w:rPr>
          <w:i/>
          <w:iCs/>
        </w:rPr>
        <w:t xml:space="preserve">.sh boot scripts, persist.</w:t>
      </w:r>
      <w:r>
        <w:t xml:space="preserve"> </w:t>
      </w:r>
      <w:r>
        <w:t xml:space="preserve">properties, markdown docs, test fixture</w:t>
      </w:r>
      <w:r>
        <w:t xml:space="preserve"> </w:t>
      </w:r>
      <w:r>
        <w:t xml:space="preserve">assets), the operator MUST first apply the fix to the running device</w:t>
      </w:r>
      <w:r>
        <w:t xml:space="preserve"> </w:t>
      </w:r>
      <w:r>
        <w:t xml:space="preserve">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w:t>
      </w:r>
      <w:r>
        <w:t xml:space="preserve"> </w:t>
      </w:r>
      <w:r>
        <w:t xml:space="preserve">run the §11.4.43 RED test live, capture PASS, THEN commit + rebuild +</w:t>
      </w:r>
      <w:r>
        <w:t xml:space="preserve"> </w:t>
      </w:r>
      <w:r>
        <w:t xml:space="preserve">reflash as belt-and-suspenders re-validation.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scripts/testing/classify_fix_rebuild_requirement.sh</w:t>
      </w:r>
      <w:r>
        <w:t xml:space="preserve"> </w:t>
      </w:r>
      <w:r>
        <w:t xml:space="preserve">walks</w:t>
      </w:r>
      <w:r>
        <w:t xml:space="preserve"> </w:t>
      </w:r>
      <w:r>
        <w:rPr>
          <w:rStyle w:val="VerbatimChar"/>
        </w:rPr>
        <w:t xml:space="preserve">git diff --name-only</w:t>
      </w:r>
      <w:r>
        <w:t xml:space="preserve">, looks up each file against the matrix,</w:t>
      </w:r>
      <w:r>
        <w:t xml:space="preserve"> </w:t>
      </w:r>
      <w:r>
        <w:t xml:space="preserve">emits per-file classification + recommended commit-message footer.</w:t>
      </w:r>
      <w:r>
        <w:t xml:space="preserve"> </w:t>
      </w:r>
      <w:r>
        <w:t xml:space="preserve">Unmatched paths classify as</w:t>
      </w:r>
      <w:r>
        <w:t xml:space="preserve"> </w:t>
      </w:r>
      <w:r>
        <w:rPr>
          <w:rStyle w:val="VerbatimChar"/>
        </w:rPr>
        <w:t xml:space="preserve">REQUIRES_REBUILD: unmatched-path</w:t>
      </w:r>
      <w:r>
        <w:t xml:space="preserve"> </w:t>
      </w:r>
      <w:r>
        <w:t xml:space="preserve">(safe default per §11.4.6). 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p>
    <w:p>
      <w:pPr>
        <w:pStyle w:val="Compact"/>
        <w:numPr>
          <w:ilvl w:val="0"/>
          <w:numId w:val="1016"/>
        </w:numPr>
      </w:pP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FirstParagraph"/>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7"/>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BodyText"/>
      </w:pPr>
      <w:r>
        <w:rPr>
          <w:b/>
          <w:bCs/>
        </w:rPr>
        <w:t xml:space="preserve">§11.4.54 — ATM-NNN ticket identifier mandate (User mandate, 2026-05-19)</w:t>
      </w:r>
    </w:p>
    <w:p>
      <w:pPr>
        <w:pStyle w:val="BodyText"/>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BodyText"/>
      </w:pPr>
      <w:r>
        <w:rPr>
          <w:b/>
          <w:bCs/>
        </w:rPr>
        <w:t xml:space="preserve">§11.4.55 — Reopens-history tracking + per-item Reopens.md doc (User mandate, 2026-05-19)</w:t>
      </w:r>
    </w:p>
    <w:p>
      <w:pPr>
        <w:pStyle w:val="BodyText"/>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BodyText"/>
      </w:pPr>
      <w:r>
        <w:rPr>
          <w:b/>
          <w:bCs/>
        </w:rPr>
        <w:t xml:space="preserve">§11.4.56 — Status_Summary parity + two-audience format (User mandate, 2026-05-19)</w:t>
      </w:r>
    </w:p>
    <w:p>
      <w:pPr>
        <w:pStyle w:val="BodyText"/>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BodyText"/>
      </w:pPr>
      <w:r>
        <w:rPr>
          <w:b/>
          <w:bCs/>
        </w:rPr>
        <w:t xml:space="preserve">§11.4.57 — README.md doc-link section + revision metadata (User mandate, 2026-05-19)</w:t>
      </w:r>
    </w:p>
    <w:p>
      <w:pPr>
        <w:pStyle w:val="BodyText"/>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rPr>
          <w:b/>
          <w:bCs/>
        </w:rPr>
        <w:t xml:space="preserve">Forensic anchor — direct user mandate (verbatim, 2026-05-19T~05:00Z MSK):</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18"/>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BodyText"/>
      </w:pPr>
      <w:r>
        <w:rPr>
          <w:b/>
          <w:bCs/>
        </w:rPr>
        <w:t xml:space="preserve">§11.4.59 — README always-sync mandate (User mandate, 2026-05-19)</w:t>
      </w:r>
    </w:p>
    <w:p>
      <w:pPr>
        <w:pStyle w:val="BodyText"/>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Pre-build gate</w:t>
      </w:r>
      <w:r>
        <w:t xml:space="preserve"> </w:t>
      </w:r>
      <w:r>
        <w:rPr>
          <w:rStyle w:val="VerbatimChar"/>
        </w:rPr>
        <w:t xml:space="preserve">CM-README-EXPORT-SYNC</w:t>
      </w:r>
      <w:r>
        <w:t xml:space="preserve"> </w:t>
      </w:r>
      <w:r>
        <w:t xml:space="preserve">enforces mtime</w:t>
      </w:r>
      <w:r>
        <w:t xml:space="preserve"> </w:t>
      </w:r>
      <w:r>
        <w:t xml:space="preserve">parity (README.html + README.pdf ≥ README.md). Paired meta-test</w:t>
      </w:r>
      <w:r>
        <w:t xml:space="preserve"> </w:t>
      </w:r>
      <w:r>
        <w:t xml:space="preserve">mutation backdates HTML+PDF →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w:t>
      </w:r>
      <w:r>
        <w:t xml:space="preserve"> </w:t>
      </w:r>
      <w:r>
        <w:t xml:space="preserve">Composes with §11.4.12 + §11.4.18 + §11.4.44 + §11.4.45 + §11.4.53 +</w:t>
      </w:r>
      <w:r>
        <w:t xml:space="preserve"> </w:t>
      </w:r>
      <w:r>
        <w:t xml:space="preserve">§11.4.56 + §11.4.57 + §12.10.</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§11.4.59.</w:t>
      </w:r>
    </w:p>
    <w:p>
      <w:pPr>
        <w:pStyle w:val="BodyText"/>
      </w:pPr>
      <w:r>
        <w:t xml:space="preserve">Non-compliance is a release blocker regardless of context.</w:t>
      </w:r>
    </w:p>
    <w:p>
      <w:pPr>
        <w:pStyle w:val="BodyText"/>
      </w:pPr>
      <w:r>
        <w:rPr>
          <w:b/>
          <w:bCs/>
        </w:rPr>
        <w:t xml:space="preserve">§11.4.60 — Documentation always-sync composite covenant (User mandate, 2026-05-19)</w:t>
      </w:r>
    </w:p>
    <w:p>
      <w:pPr>
        <w:pStyle w:val="BodyText"/>
      </w:pPr>
      <w:r>
        <w:t xml:space="preserve">Eight documentation classes (Issues, Issues_Summary, Fixed,</w:t>
      </w:r>
      <w:r>
        <w:t xml:space="preserve"> </w:t>
      </w:r>
      <w:r>
        <w:t xml:space="preserve">Fixed_Summary, CONTINUATION, README, every Status.md, every</w:t>
      </w:r>
      <w:r>
        <w:t xml:space="preserve"> </w:t>
      </w:r>
      <w:r>
        <w:t xml:space="preserve">Status_Summary.md) MUST be in sync at all times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artefacts. Per-class anchors §11.4.12 / §11.4.44 /</w:t>
      </w:r>
      <w:r>
        <w:t xml:space="preserve"> </w:t>
      </w:r>
      <w:r>
        <w:t xml:space="preserve">§11.4.45 / §11.4.53 / §11.4.56 / §11.4.57 / §11.4.59 / §12.10</w:t>
      </w:r>
      <w:r>
        <w:t xml:space="preserve"> </w:t>
      </w:r>
      <w:r>
        <w:t xml:space="preserve">govern individually; §11.4.60 binds them via single composite gate</w:t>
      </w:r>
      <w:r>
        <w:t xml:space="preserve"> </w:t>
      </w:r>
      <w:r>
        <w:rPr>
          <w:rStyle w:val="VerbatimChar"/>
        </w:rPr>
        <w:t xml:space="preserve">CM-DOCS-COMPOSITE-SYNC</w:t>
      </w:r>
      <w:r>
        <w:t xml:space="preserve"> </w:t>
      </w:r>
      <w:r>
        <w:t xml:space="preserve">that FAILs if ANY instance's</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w:t>
      </w:r>
      <w:r>
        <w:t xml:space="preserve"> </w:t>
      </w:r>
      <w:r>
        <w:rPr>
          <w:rStyle w:val="VerbatimChar"/>
        </w:rPr>
        <w:t xml:space="preserve">.md</w:t>
      </w:r>
      <w:r>
        <w:t xml:space="preserve"> </w:t>
      </w:r>
      <w:r>
        <w:t xml:space="preserve">mtime. Walks</w:t>
      </w:r>
      <w:r>
        <w:t xml:space="preserve"> </w:t>
      </w:r>
      <w:r>
        <w:rPr>
          <w:rStyle w:val="VerbatimChar"/>
        </w:rPr>
        <w:t xml:space="preserve">docs/**</w:t>
      </w:r>
      <w:r>
        <w:t xml:space="preserve"> </w:t>
      </w:r>
      <w:r>
        <w:t xml:space="preserve">recursively</w:t>
      </w:r>
      <w:r>
        <w:t xml:space="preserve"> </w:t>
      </w:r>
      <w:r>
        <w:t xml:space="preserve">for Status.md fleet. Paired mutation backdates</w:t>
      </w:r>
      <w:r>
        <w:t xml:space="preserve"> </w:t>
      </w:r>
      <w:r>
        <w:rPr>
          <w:rStyle w:val="VerbatimChar"/>
        </w:rPr>
        <w:t xml:space="preserve">docs/Issues.html</w:t>
      </w:r>
      <w:r>
        <w:t xml:space="preserve"> </w:t>
      </w:r>
      <w:r>
        <w:t xml:space="preserve">→ gate FAILs. No escape hatch — 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w:t>
      </w:r>
      <w:r>
        <w:t xml:space="preserve"> </w:t>
      </w:r>
      <w:r>
        <w:t xml:space="preserve">Composes with §11.4.12 + §11.4.15 + §11.4.16 + §11.4.19 + §11.4.23 +</w:t>
      </w:r>
      <w:r>
        <w:t xml:space="preserve"> </w:t>
      </w:r>
      <w:r>
        <w:t xml:space="preserve">§11.4.33 + §11.4.44 + §11.4.45 + §11.4.53 + §11.4.56 + §11.4.57 +</w:t>
      </w:r>
      <w:r>
        <w:t xml:space="preserve"> </w:t>
      </w:r>
      <w:r>
        <w:t xml:space="preserve">§11.4.59 + §12.10.</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§11.4.60.</w:t>
      </w:r>
    </w:p>
    <w:p>
      <w:pPr>
        <w:pStyle w:val="BodyText"/>
      </w:pPr>
      <w:r>
        <w:t xml:space="preserve">Non-compliance is a release blocker regardless of context.</w:t>
      </w:r>
    </w:p>
    <w:p>
      <w:pPr>
        <w:pStyle w:val="BodyText"/>
      </w:pPr>
      <w:r>
        <w:rPr>
          <w:b/>
          <w:bCs/>
        </w:rPr>
        <w:t xml:space="preserve">§11.4.63 — Workable-items procedure docs as single source of truth (User mandate, 2026-05-19)</w:t>
      </w:r>
    </w:p>
    <w:p>
      <w:pPr>
        <w:pStyle w:val="BodyText"/>
      </w:pPr>
      <w:r>
        <w:t xml:space="preserve">Every workable-item action (open / update / close / reopen / migrate) MUST follow the canonical procedure document at</w:t>
      </w:r>
      <w:r>
        <w:t xml:space="preserve"> </w:t>
      </w:r>
      <w:r>
        <w:rPr>
          <w:rStyle w:val="VerbatimChar"/>
        </w:rPr>
        <w:t xml:space="preserve">docs/procedures/issues/&lt;Action&gt;.md</w:t>
      </w:r>
      <w:r>
        <w:t xml:space="preserve">. Closed-set of 5 procedure docs:</w:t>
      </w:r>
      <w:r>
        <w:t xml:space="preserve"> </w:t>
      </w:r>
      <w:r>
        <w:rPr>
          <w:rStyle w:val="VerbatimChar"/>
        </w:rPr>
        <w:t xml:space="preserve">Creation.md</w:t>
      </w:r>
      <w:r>
        <w:t xml:space="preserve">,</w:t>
      </w:r>
      <w:r>
        <w:t xml:space="preserve"> </w:t>
      </w:r>
      <w:r>
        <w:rPr>
          <w:rStyle w:val="VerbatimChar"/>
        </w:rPr>
        <w:t xml:space="preserve">Updating.md</w:t>
      </w:r>
      <w:r>
        <w:t xml:space="preserve">,</w:t>
      </w:r>
      <w:r>
        <w:t xml:space="preserve"> </w:t>
      </w:r>
      <w:r>
        <w:rPr>
          <w:rStyle w:val="VerbatimChar"/>
        </w:rPr>
        <w:t xml:space="preserve">Resolution.md</w:t>
      </w:r>
      <w:r>
        <w:t xml:space="preserve">,</w:t>
      </w:r>
      <w:r>
        <w:t xml:space="preserve"> </w:t>
      </w:r>
      <w:r>
        <w:rPr>
          <w:rStyle w:val="VerbatimChar"/>
        </w:rPr>
        <w:t xml:space="preserve">Reopening.md</w:t>
      </w:r>
      <w:r>
        <w:t xml:space="preserve">,</w:t>
      </w:r>
      <w:r>
        <w:t xml:space="preserve"> </w:t>
      </w:r>
      <w:r>
        <w:rPr>
          <w:rStyle w:val="VerbatimChar"/>
        </w:rPr>
        <w:t xml:space="preserve">Migration.md</w:t>
      </w:r>
      <w:r>
        <w:t xml:space="preserve">. Each carries §11.4.44 revision header + HTML + PDF exports (refreshed by</w:t>
      </w:r>
      <w:r>
        <w:t xml:space="preserve"> </w:t>
      </w:r>
      <w:r>
        <w:rPr>
          <w:rStyle w:val="VerbatimChar"/>
        </w:rPr>
        <w:t xml:space="preserve">scripts/testing/sync_procedure_docs_export.sh</w:t>
      </w:r>
      <w:r>
        <w:t xml:space="preserve">, invoked as the final stage of</w:t>
      </w:r>
      <w:r>
        <w:t xml:space="preserve"> </w:t>
      </w:r>
      <w:r>
        <w:rPr>
          <w:rStyle w:val="VerbatimChar"/>
        </w:rPr>
        <w:t xml:space="preserve">sync_issues_docs.sh</w:t>
      </w:r>
      <w:r>
        <w:t xml:space="preserve">). ALL work — new features, behavioural changes, tasks (refactor / doc / infra / gate / audit / cleanup), bug fixes, investigation, documentation — MUST flow through these procedures. No ad-hoc procedure permitted.</w:t>
      </w:r>
    </w:p>
    <w:p>
      <w:pPr>
        <w:pStyle w:val="BodyText"/>
      </w:pPr>
      <w:r>
        <w:t xml:space="preserve">Pre-build gate</w:t>
      </w:r>
      <w:r>
        <w:t xml:space="preserve"> </w:t>
      </w:r>
      <w:r>
        <w:rPr>
          <w:rStyle w:val="VerbatimChar"/>
        </w:rPr>
        <w:t xml:space="preserve">CM-PROCEDURES-DOCS-PRESENT</w:t>
      </w:r>
      <w:r>
        <w:t xml:space="preserve"> </w:t>
      </w:r>
      <w:r>
        <w:t xml:space="preserve">checks all 5 procedure docs exist + carry revision header + have current HTML/PDF exports + sync helper is wired into</w:t>
      </w:r>
      <w:r>
        <w:t xml:space="preserve"> </w:t>
      </w:r>
      <w:r>
        <w:rPr>
          <w:rStyle w:val="VerbatimChar"/>
        </w:rPr>
        <w:t xml:space="preserve">sync_issues_docs.sh</w:t>
      </w:r>
      <w:r>
        <w:t xml:space="preserve">. Paired mutation: rename one procedure doc → gate FAILs. Propagation gate</w:t>
      </w:r>
      <w:r>
        <w:t xml:space="preserve"> </w:t>
      </w:r>
      <w:r>
        <w:rPr>
          <w:rStyle w:val="VerbatimChar"/>
        </w:rPr>
        <w:t xml:space="preserve">CM-COVENANT-114-63-PROPAGATION</w:t>
      </w:r>
      <w:r>
        <w:t xml:space="preserve"> </w:t>
      </w:r>
      <w:r>
        <w:t xml:space="preserve">enforces this anchor literal in every CLAUDE.md / AGENTS.md.</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19"/>
        </w:numPr>
      </w:pPr>
      <w:r>
        <w:t xml:space="preserve">Suspending the host (</w:t>
      </w:r>
      <w:r>
        <w:rPr>
          <w:rStyle w:val="VerbatimChar"/>
        </w:rPr>
        <w:t xml:space="preserve">systemctl suspend</w:t>
      </w:r>
      <w:r>
        <w:t xml:space="preserve">, etc.).</w:t>
      </w:r>
    </w:p>
    <w:p>
      <w:pPr>
        <w:pStyle w:val="Compact"/>
        <w:numPr>
          <w:ilvl w:val="0"/>
          <w:numId w:val="1019"/>
        </w:numPr>
      </w:pPr>
      <w:r>
        <w:t xml:space="preserve">Hibernating / hybrid-sleeping the host.</w:t>
      </w:r>
    </w:p>
    <w:p>
      <w:pPr>
        <w:pStyle w:val="Compact"/>
        <w:numPr>
          <w:ilvl w:val="0"/>
          <w:numId w:val="1019"/>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19"/>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19"/>
        </w:numPr>
      </w:pPr>
      <w:r>
        <w:t xml:space="preserve">Programmatic rfkill toggles, lid-switch handlers, power-button</w:t>
      </w:r>
      <w:r>
        <w:t xml:space="preserve"> </w:t>
      </w:r>
      <w:r>
        <w:t xml:space="preserve">handlers — these cascade into idle-actions.</w:t>
      </w:r>
    </w:p>
    <w:p>
      <w:pPr>
        <w:pStyle w:val="Compact"/>
        <w:numPr>
          <w:ilvl w:val="0"/>
          <w:numId w:val="1019"/>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0"/>
        </w:numPr>
      </w:pPr>
      <w:r>
        <w:t xml:space="preserve">Source the project's host-safety helper library.</w:t>
      </w:r>
    </w:p>
    <w:p>
      <w:pPr>
        <w:pStyle w:val="Compact"/>
        <w:numPr>
          <w:ilvl w:val="0"/>
          <w:numId w:val="1020"/>
        </w:numPr>
      </w:pPr>
      <w:r>
        <w:t xml:space="preserve">Call its pre-flight check and abort if it fails.</w:t>
      </w:r>
    </w:p>
    <w:p>
      <w:pPr>
        <w:pStyle w:val="Compact"/>
        <w:numPr>
          <w:ilvl w:val="0"/>
          <w:numId w:val="1020"/>
        </w:numPr>
      </w:pPr>
      <w:r>
        <w:t xml:space="preserve">Wrap any subprocess expected to exceed ~4 GiB RSS in a bounded</w:t>
      </w:r>
      <w:r>
        <w:t xml:space="preserve"> </w:t>
      </w:r>
      <w:r>
        <w:t xml:space="preserve">execution scope.</w:t>
      </w:r>
    </w:p>
    <w:p>
      <w:pPr>
        <w:pStyle w:val="Compact"/>
        <w:numPr>
          <w:ilvl w:val="0"/>
          <w:numId w:val="1020"/>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1"/>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1"/>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1"/>
        </w:numPr>
      </w:pPr>
      <w:r>
        <w:rPr>
          <w:b/>
          <w:bCs/>
        </w:rPr>
        <w:t xml:space="preserve">Define expected post-op state</w:t>
      </w:r>
      <w:r>
        <w:t xml:space="preserve">.</w:t>
      </w:r>
    </w:p>
    <w:p>
      <w:pPr>
        <w:pStyle w:val="Compact"/>
        <w:numPr>
          <w:ilvl w:val="0"/>
          <w:numId w:val="1021"/>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1"/>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1"/>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1"/>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2"/>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2"/>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2"/>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2"/>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3"/>
        </w:numPr>
      </w:pPr>
      <w:r>
        <w:rPr>
          <w:b/>
          <w:bCs/>
        </w:rPr>
        <w:t xml:space="preserve">Pre-build / pre-merge verification</w:t>
      </w:r>
      <w:r>
        <w:t xml:space="preserve"> </w:t>
      </w:r>
      <w:r>
        <w:t xml:space="preserve">— BEFORE every build.</w:t>
      </w:r>
    </w:p>
    <w:p>
      <w:pPr>
        <w:pStyle w:val="Compact"/>
        <w:numPr>
          <w:ilvl w:val="0"/>
          <w:numId w:val="1023"/>
        </w:numPr>
      </w:pPr>
      <w:r>
        <w:rPr>
          <w:b/>
          <w:bCs/>
        </w:rPr>
        <w:t xml:space="preserve">Post-build / packaging verification</w:t>
      </w:r>
      <w:r>
        <w:t xml:space="preserve"> </w:t>
      </w:r>
      <w:r>
        <w:t xml:space="preserve">— AFTER every build.</w:t>
      </w:r>
    </w:p>
    <w:p>
      <w:pPr>
        <w:pStyle w:val="Compact"/>
        <w:numPr>
          <w:ilvl w:val="0"/>
          <w:numId w:val="1023"/>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24"/>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24"/>
        </w:numPr>
      </w:pPr>
      <w:r>
        <w:t xml:space="preserve">Static analyzers / linters / type-checkers MUST run clean (zero</w:t>
      </w:r>
      <w:r>
        <w:t xml:space="preserve"> </w:t>
      </w:r>
      <w:r>
        <w:t xml:space="preserve">warnings) before commit.</w:t>
      </w:r>
    </w:p>
    <w:p>
      <w:pPr>
        <w:pStyle w:val="Compact"/>
        <w:numPr>
          <w:ilvl w:val="0"/>
          <w:numId w:val="1024"/>
        </w:numPr>
      </w:pPr>
      <w:r>
        <w:t xml:space="preserve">Style is set by the project's formatter; do not hand-edit style</w:t>
      </w:r>
      <w:r>
        <w:t xml:space="preserve"> </w:t>
      </w:r>
      <w:r>
        <w:t xml:space="preserve">in PRs.</w:t>
      </w:r>
    </w:p>
    <w:p>
      <w:pPr>
        <w:pStyle w:val="Compact"/>
        <w:numPr>
          <w:ilvl w:val="0"/>
          <w:numId w:val="1024"/>
        </w:numPr>
      </w:pPr>
      <w:r>
        <w:t xml:space="preserve">Public APIs are documented at the source.</w:t>
      </w:r>
    </w:p>
    <w:bookmarkEnd w:id="68"/>
    <w:bookmarkStart w:id="70" w:name="when-in-doubt"/>
    <w:p>
      <w:pPr>
        <w:pStyle w:val="Heading2"/>
      </w:pPr>
      <w:r>
        <w:t xml:space="preserve">When in doubt</w:t>
      </w:r>
    </w:p>
    <w:p>
      <w:pPr>
        <w:pStyle w:val="Compact"/>
        <w:numPr>
          <w:ilvl w:val="0"/>
          <w:numId w:val="1025"/>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25"/>
        </w:numPr>
      </w:pPr>
      <w:r>
        <w:t xml:space="preserve">Cross-reference the project's CLAUDE.md / AGENTS.md for project-</w:t>
      </w:r>
      <w:r>
        <w:t xml:space="preserve"> </w:t>
      </w:r>
      <w:r>
        <w:t xml:space="preserve">specific extensions.</w:t>
      </w:r>
    </w:p>
    <w:p>
      <w:pPr>
        <w:pStyle w:val="Compact"/>
        <w:numPr>
          <w:ilvl w:val="0"/>
          <w:numId w:val="102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(Arvus / Sonos /</w:t>
      </w:r>
      <w:r>
        <w:t xml:space="preserve"> </w:t>
      </w:r>
      <w:r>
        <w:t xml:space="preserve">Yamaha REST API); (2) PCM</w:t>
      </w:r>
      <w:r>
        <w:t xml:space="preserve"> </w:t>
      </w:r>
      <w:r>
        <w:rPr>
          <w:rStyle w:val="VerbatimChar"/>
        </w:rPr>
        <w:t xml:space="preserve">hw_ptr</w:t>
      </w:r>
      <w:r>
        <w:t xml:space="preserve"> </w:t>
      </w:r>
      <w:r>
        <w:t xml:space="preserve">delta strictly positive across</w:t>
      </w:r>
      <w:r>
        <w:t xml:space="preserve"> </w:t>
      </w:r>
      <w:r>
        <w:t xml:space="preserve">the playback window; (3) ALSA ELD demonstrating negotiated channel</w:t>
      </w:r>
      <w:r>
        <w:t xml:space="preserve"> </w:t>
      </w:r>
      <w:r>
        <w:t xml:space="preserve">count + format; (4) ffprobe-on-captured-mp4 with non-zero frames</w:t>
      </w:r>
      <w:r>
        <w:t xml:space="preserve"> </w:t>
      </w:r>
      <w:r>
        <w:t xml:space="preserve">matching expected codec; (5) recording-analyzer matched event per</w:t>
      </w:r>
      <w:r>
        <w:t xml:space="preserve"> </w:t>
      </w:r>
      <w:r>
        <w:t xml:space="preserve">§11.4.2 / §11.4.5 timeline; (6) tinycap RMS amplitude above floor.</w:t>
      </w:r>
    </w:p>
    <w:p>
      <w:pPr>
        <w:pStyle w:val="BodyText"/>
      </w:pPr>
      <w:r>
        <w:t xml:space="preserve">Failure modes specifically forbidden:</w:t>
      </w:r>
      <w:r>
        <w:t xml:space="preserve"> </w:t>
      </w:r>
      <w:r>
        <w:rPr>
          <w:rStyle w:val="VerbatimChar"/>
        </w:rPr>
        <w:t xml:space="preserve">arvus_probe_present</w:t>
      </w:r>
      <w:r>
        <w:t xml:space="preserve"> </w:t>
      </w:r>
      <w:r>
        <w:t xml:space="preserve">returning 1 silently dropping the test to SKIP; empty codec-state</w:t>
      </w:r>
      <w:r>
        <w:t xml:space="preserve"> </w:t>
      </w:r>
      <w:r>
        <w:t xml:space="preserve">treated as evidence;</w:t>
      </w:r>
      <w:r>
        <w:t xml:space="preserve"> </w:t>
      </w:r>
      <w:r>
        <w:rPr>
          <w:rStyle w:val="VerbatimChar"/>
        </w:rPr>
        <w:t xml:space="preserve">dumpsys media.audio_flinger</w:t>
      </w:r>
      <w:r>
        <w:t xml:space="preserve"> </w:t>
      </w:r>
      <w:r>
        <w:t xml:space="preserve">policy-side</w:t>
      </w:r>
      <w:r>
        <w:t xml:space="preserve"> </w:t>
      </w:r>
      <w:r>
        <w:t xml:space="preserve">device field used as proof PCM actually opened; config-XML-only PASS</w:t>
      </w:r>
      <w:r>
        <w:t xml:space="preserve"> </w:t>
      </w:r>
      <w:r>
        <w:t xml:space="preserve">without runtime evidence. All four are the §11.4 PASS-bluff pattern</w:t>
      </w:r>
      <w:r>
        <w:t xml:space="preserve"> </w:t>
      </w:r>
      <w:r>
        <w:t xml:space="preserve">materialised on D3 2026-05-20 when the test suite reported audio-</w:t>
      </w:r>
      <w:r>
        <w:t xml:space="preserve"> </w:t>
      </w:r>
      <w:r>
        <w:t xml:space="preserve">routing PASS while the user heard nothing and Arvus Codec-In-Use was</w:t>
      </w:r>
      <w:r>
        <w:t xml:space="preserve"> </w:t>
      </w:r>
      <w:r>
        <w:t xml:space="preserve">empty.</w:t>
      </w:r>
    </w:p>
    <w:p>
      <w:pPr>
        <w:pStyle w:val="BodyText"/>
      </w:pPr>
      <w:r>
        <w:t xml:space="preserve">Mandatory protections: (1) sink-side library helpers expose</w:t>
      </w:r>
      <w:r>
        <w:t xml:space="preserve"> </w:t>
      </w:r>
      <w:r>
        <w:rPr>
          <w:rStyle w:val="VerbatimChar"/>
        </w:rPr>
        <w:t xml:space="preserve">*_require_reachable</w:t>
      </w:r>
      <w:r>
        <w:t xml:space="preserve"> </w:t>
      </w:r>
      <w:r>
        <w:t xml:space="preserve">returning exit code 2 (OPERATOR-BLOCKED) when</w:t>
      </w:r>
      <w:r>
        <w:t xml:space="preserve"> </w:t>
      </w:r>
      <w:r>
        <w:t xml:space="preserve">sink unreachable; (2) test harness propagates 2 to summary as</w:t>
      </w:r>
      <w:r>
        <w:t xml:space="preserve"> </w:t>
      </w:r>
      <w:r>
        <w:t xml:space="preserve">OPERATOR-BLOCKED, release tags blocked while OPERATOR-BLOCKED exists;</w:t>
      </w:r>
      <w:r>
        <w:t xml:space="preserve"> </w:t>
      </w:r>
      <w:r>
        <w:t xml:space="preserve">(3) audio-routing tests rewritten to capture ≥1 positive sink/downstream</w:t>
      </w:r>
      <w:r>
        <w:t xml:space="preserve"> </w:t>
      </w:r>
      <w:r>
        <w:t xml:space="preserve">evidence per the enumeration above; (4) anti-stickiness post-stop —</w:t>
      </w:r>
      <w:r>
        <w:t xml:space="preserve"> </w:t>
      </w:r>
      <w:r>
        <w:t xml:space="preserve">test re-probes sink and asserts codec-state transitioned to N.E. /</w:t>
      </w:r>
      <w:r>
        <w:t xml:space="preserve"> </w:t>
      </w:r>
      <w:r>
        <w:t xml:space="preserve">0-frames-delta. 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with paired meta-test mutations per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7"/>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7"/>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7"/>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8"/>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8"/>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8"/>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(e.g.</w:t>
      </w:r>
      <w:r>
        <w:t xml:space="preserve"> </w:t>
      </w:r>
      <w:r>
        <w:rPr>
          <w:rStyle w:val="VerbatimChar"/>
        </w:rPr>
        <w:t xml:space="preserve">docs/specs/**/specification.V&lt;n&gt;.md</w:t>
      </w:r>
      <w:r>
        <w:t xml:space="preserve">). Two-axis versioning:</w:t>
      </w:r>
      <w:r>
        <w:t xml:space="preserve"> </w:t>
      </w:r>
      <w:r>
        <w:rPr>
          <w:b/>
          <w:bCs/>
        </w:rPr>
        <w:t xml:space="preserve">primary</w:t>
      </w:r>
      <w:r>
        <w:t xml:space="preserve"> </w:t>
      </w:r>
      <w:r>
        <w:t xml:space="preserve">(V1/V2/V3/…) bumps for major rewrites (old primary archived to</w:t>
      </w:r>
      <w:r>
        <w:t xml:space="preserve"> </w:t>
      </w:r>
      <w:r>
        <w:rPr>
          <w:rStyle w:val="VerbatimChar"/>
        </w:rPr>
        <w:t xml:space="preserve">&lt;spec-dir&gt;/archive/</w:t>
      </w:r>
      <w:r>
        <w:t xml:space="preserve">);</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refinements, polish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contributor (human or AI agent) MUST: (1)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(2) reuse an existing Submodule when it covers ≥ 80% of the functionality; (3) extend in-place via upstream PR when 80%+ matches but features are missing — never duplicate the 80% in-project; (4) document the survey result in the relevant tracker row with a</w:t>
      </w:r>
      <w:r>
        <w:t xml:space="preserve"> </w:t>
      </w:r>
      <w:r>
        <w:rPr>
          <w:rStyle w:val="VerbatimChar"/>
        </w:rPr>
        <w:t xml:space="preserve">Catalogue-Check: reuse|extend|no-match &lt;org/repo&gt;@&lt;sha&gt;</w:t>
      </w:r>
      <w:r>
        <w:t xml:space="preserve"> </w:t>
      </w:r>
      <w:r>
        <w:t xml:space="preserve">line.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9"/>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9"/>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9"/>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9"/>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9"/>
        </w:numPr>
      </w:pPr>
      <w:r>
        <w:rPr>
          <w:b/>
          <w:bCs/>
        </w:rPr>
        <w:t xml:space="preserve">CI/CD workflow</w:t>
      </w:r>
      <w:r>
        <w:t xml:space="preserve"> </w:t>
      </w:r>
      <w:r>
        <w:t xml:space="preserve">(</w:t>
      </w:r>
      <w:r>
        <w:rPr>
          <w:rStyle w:val="VerbatimChar"/>
        </w:rPr>
        <w:t xml:space="preserve">.github/workflows/constitution-compliance.yml</w:t>
      </w:r>
      <w:r>
        <w:t xml:space="preserve">) — final defence at remote level. Runs propagation-gate subset on every push to main + every PR; auto-fails on violations.</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 Same collision-resolution pattern as §11.4.75's own renumber from drafted §11.4.74.</w:t>
      </w:r>
    </w:p>
    <w:p>
      <w:pPr>
        <w:pStyle w:val="BodyText"/>
      </w:pPr>
      <w:r>
        <w:t xml:space="preserve">For ANY containerized workload (Docker / Podman / Qemu / Kubernetes / container-backed emulators), every consuming project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(2) consume via</w:t>
      </w:r>
      <w:r>
        <w:t xml:space="preserve"> </w:t>
      </w:r>
      <w:r>
        <w:rPr>
          <w:rStyle w:val="VerbatimChar"/>
        </w:rPr>
        <w:t xml:space="preserve">replace</w:t>
      </w:r>
      <w:r>
        <w:t xml:space="preserve"> </w:t>
      </w:r>
      <w:r>
        <w:t xml:space="preserve">directive during development + pinned commit SHAs in production; (3) boot infra on-demand via</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so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(the</w:t>
      </w:r>
      <w:r>
        <w:t xml:space="preserve"> </w:t>
      </w:r>
      <w:r>
        <w:rPr>
          <w:b/>
          <w:bCs/>
        </w:rPr>
        <w:t xml:space="preserve">on-demand-infra invariant</w:t>
      </w:r>
      <w:r>
        <w:t xml:space="preserve">); (4) extend the Submodule (PR upstream) for missing runtimes / lifecycle primitives — never reimplement in-project (per §11.4.74); (5) anti-bluff: integration tests claiming to exercise containerized components MUST actually boot them via the Submodule — short-circuit fakes that bypass boot are a §11.4 violation.</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 this clause IS one of the things mechanical enforcement protects), §3 (propagation), §11.4.31 (Submodule-Dependency-Manifest), §11.4.36 (</w:t>
      </w:r>
      <w:r>
        <w:rPr>
          <w:rStyle w:val="VerbatimChar"/>
        </w:rPr>
        <w:t xml:space="preserve">install_upstreams</w:t>
      </w:r>
      <w:r>
        <w:t xml:space="preserve"> </w:t>
      </w:r>
      <w:r>
        <w:t xml:space="preserve">on clone), §11.4.28 (Submodules-As-Equal-Codebase), §1.1 (paired-mutation gates protect the Submodule's own primitives).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Helix Constitution — Universal CLAUDE.md</dc:title>
  <dc:creator/>
  <cp:keywords/>
  <dcterms:created xsi:type="dcterms:W3CDTF">2026-05-20T12:54:06Z</dcterms:created>
  <dcterms:modified xsi:type="dcterms:W3CDTF">2026-05-20T12:54:06Z</dcterms:modified>
</cp:coreProperties>
</file>

<file path=docProps/custom.xml><?xml version="1.0" encoding="utf-8"?>
<Properties xmlns="http://schemas.openxmlformats.org/officeDocument/2006/custom-properties" xmlns:vt="http://schemas.openxmlformats.org/officeDocument/2006/docPropsVTypes"/>
</file>