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cheduled-work-engine-design"/>
    <w:p>
      <w:pPr>
        <w:pStyle w:val="Heading1"/>
      </w:pPr>
      <w:r>
        <w:t xml:space="preserve">scheduled-work-engine — DESIGN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2026-07-02T00:00:00Z</w:t>
      </w:r>
    </w:p>
    <w:bookmarkStart w:id="9" w:name="goal-scope"/>
    <w:p>
      <w:pPr>
        <w:pStyle w:val="Heading2"/>
      </w:pPr>
      <w:r>
        <w:t xml:space="preserve">1. Goal &amp; scope</w:t>
      </w:r>
    </w:p>
    <w:p>
      <w:pPr>
        <w:pStyle w:val="FirstParagraph"/>
      </w:pPr>
      <w:r>
        <w:t xml:space="preserve">Backing infrastructure that gives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action-prefix</w:t>
      </w:r>
      <w:r>
        <w:t xml:space="preserve"> </w:t>
      </w:r>
      <w:r>
        <w:t xml:space="preserve">(§11.4.140) real teeth: a</w:t>
      </w:r>
      <w:r>
        <w:t xml:space="preserve"> </w:t>
      </w:r>
      <w:r>
        <w:rPr>
          <w:b/>
          <w:bCs/>
        </w:rPr>
        <w:t xml:space="preserve">decoupled, project-agnostic</w:t>
      </w:r>
      <w:r>
        <w:t xml:space="preserve"> </w:t>
      </w:r>
      <w:r>
        <w:t xml:space="preserve">(§11.4.28) service that</w:t>
      </w:r>
      <w:r>
        <w:t xml:space="preserve"> </w:t>
      </w:r>
      <w:r>
        <w:t xml:space="preserve">tracks scheduled/background work items so an autonomous agent can, when a</w:t>
      </w:r>
      <w:r>
        <w:t xml:space="preserve"> </w:t>
      </w:r>
      <w:r>
        <w:t xml:space="preserve">REMINDER fires, query for work whose outcome is</w:t>
      </w:r>
      <w:r>
        <w:t xml:space="preserve"> </w:t>
      </w:r>
      <w:r>
        <w:rPr>
          <w:b/>
          <w:bCs/>
        </w:rPr>
        <w:t xml:space="preserve">not yet confirmed</w:t>
      </w:r>
      <w:r>
        <w:t xml:space="preserve"> </w:t>
      </w:r>
      <w:r>
        <w:t xml:space="preserve">and</w:t>
      </w:r>
      <w:r>
        <w:t xml:space="preserve"> </w:t>
      </w:r>
      <w:r>
        <w:t xml:space="preserve">re-verify it before reporting done (§11.4.6 no-guessing, §11.4.108</w:t>
      </w:r>
      <w:r>
        <w:t xml:space="preserve"> </w:t>
      </w:r>
      <w:r>
        <w:t xml:space="preserve">verify-before-report). No ATMOSphere/consumer-specific data is hardcoded; all</w:t>
      </w:r>
      <w:r>
        <w:t xml:space="preserve"> </w:t>
      </w:r>
      <w:r>
        <w:t xml:space="preserve">configuration is via env/flags (§11.4.28).</w:t>
      </w:r>
    </w:p>
    <w:bookmarkEnd w:id="9"/>
    <w:bookmarkStart w:id="11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cmd/scheduled-work            subcommands: serve | mcp-stdio | acp-stdio | version</w:t>
      </w:r>
      <w:r>
        <w:br/>
      </w:r>
      <w:r>
        <w:rPr>
          <w:rStyle w:val="VerbatimChar"/>
        </w:rPr>
        <w:t xml:space="preserve">  └─ internal/server          gin.Engine (REST + POST /mcp) + brotli middleware + TLS</w:t>
      </w:r>
      <w:r>
        <w:br/>
      </w:r>
      <w:r>
        <w:rPr>
          <w:rStyle w:val="VerbatimChar"/>
        </w:rPr>
        <w:t xml:space="preserve">  └─ internal/mcp             MCP JSON-RPC 2.0 dispatcher (shared by HTTP + stdio)</w:t>
      </w:r>
      <w:r>
        <w:br/>
      </w:r>
      <w:r>
        <w:rPr>
          <w:rStyle w:val="VerbatimChar"/>
        </w:rPr>
        <w:t xml:space="preserve">  └─ internal/acp             newline-delimited JSON-RPC stdio loop (MCP-stdio + ACP-equiv)</w:t>
      </w:r>
      <w:r>
        <w:br/>
      </w:r>
      <w:r>
        <w:rPr>
          <w:rStyle w:val="VerbatimChar"/>
        </w:rPr>
        <w:t xml:space="preserve">  └─ internal/store           JSON-file store (mutex + atomic write), the data model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gin.Engine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, so it is served</w:t>
      </w:r>
      <w:r>
        <w:t xml:space="preserve"> </w:t>
      </w:r>
      <w:r>
        <w:rPr>
          <w:b/>
          <w:bCs/>
        </w:rPr>
        <w:t xml:space="preserve">identically</w:t>
      </w:r>
      <w:r>
        <w:t xml:space="preserve"> </w:t>
      </w:r>
      <w:r>
        <w:t xml:space="preserve">over</w:t>
      </w:r>
      <w:r>
        <w:t xml:space="preserve"> </w:t>
      </w:r>
      <w:r>
        <w:t xml:space="preserve">HTTP/1.1, HTTP/2 (TCP TLS) and HTTP/3 (QUIC UDP). One MCP dispatcher backs the</w:t>
      </w:r>
      <w:r>
        <w:t xml:space="preserve"> </w:t>
      </w:r>
      <w:r>
        <w:t xml:space="preserve">HTTP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endpoint AND the stdio transports — a single tool implementation,</w:t>
      </w:r>
      <w:r>
        <w:t xml:space="preserve"> </w:t>
      </w:r>
      <w:r>
        <w:t xml:space="preserve">three transports.</w:t>
      </w:r>
    </w:p>
    <w:bookmarkStart w:id="10" w:name="Xb3d70158cb0266076214fa33f0e52eae0b75fb3"/>
    <w:p>
      <w:pPr>
        <w:pStyle w:val="Heading3"/>
      </w:pPr>
      <w:r>
        <w:t xml:space="preserve">Current libraries (researched — §11.4.8/§11.4.99, verified 2026-07-02)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github.com/quic-go/quic-go</w:t>
      </w:r>
      <w:r>
        <w:t xml:space="preserve"> </w:t>
      </w:r>
      <w:r>
        <w:rPr>
          <w:b/>
          <w:bCs/>
        </w:rPr>
        <w:t xml:space="preserve">v0.60.0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http3.Server{Handler,TLSConfig}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ListenAndServe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Serve(net.PacketConn)</w:t>
      </w:r>
      <w:r>
        <w:t xml:space="preserve">) for the server;</w:t>
      </w:r>
      <w:r>
        <w:t xml:space="preserve"> </w:t>
      </w:r>
      <w:r>
        <w:rPr>
          <w:rStyle w:val="VerbatimChar"/>
        </w:rPr>
        <w:t xml:space="preserve">http3.Transport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http.RoundTripper</w:t>
      </w:r>
      <w:r>
        <w:t xml:space="preserve">) for the client. gin does not serve HTTP/3 natively, so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gin.Engine</w:t>
      </w:r>
      <w:r>
        <w:t xml:space="preserve"> </w:t>
      </w:r>
      <w:r>
        <w:t xml:space="preserve">is wrapped as the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 </w:t>
      </w:r>
      <w:r>
        <w:t xml:space="preserve">behind</w:t>
      </w:r>
      <w:r>
        <w:t xml:space="preserve"> </w:t>
      </w:r>
      <w:r>
        <w:rPr>
          <w:rStyle w:val="VerbatimChar"/>
        </w:rPr>
        <w:t xml:space="preserve">http3.Server</w:t>
      </w:r>
      <w:r>
        <w:t xml:space="preserve"> </w:t>
      </w:r>
      <w:r>
        <w:t xml:space="preserve">(confirmed against the vendored source, not assumed).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github.com/andybalholm/brotli</w:t>
      </w:r>
      <w:r>
        <w:t xml:space="preserve"> </w:t>
      </w:r>
      <w:r>
        <w:rPr>
          <w:b/>
          <w:bCs/>
        </w:rPr>
        <w:t xml:space="preserve">v1.2.2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brotli.NewWriterLevel</w:t>
      </w:r>
      <w:r>
        <w:t xml:space="preserve">; note it has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WriteString</w:t>
      </w:r>
      <w:r>
        <w:t xml:space="preserve"> </w:t>
      </w:r>
      <w:r>
        <w:t xml:space="preserve">(the gin</w:t>
      </w:r>
      <w:r>
        <w:t xml:space="preserve"> </w:t>
      </w:r>
      <w:r>
        <w:rPr>
          <w:rStyle w:val="VerbatimChar"/>
        </w:rPr>
        <w:t xml:space="preserve">ResponseWriter</w:t>
      </w:r>
      <w:r>
        <w:t xml:space="preserve"> </w:t>
      </w:r>
      <w:r>
        <w:rPr>
          <w:rStyle w:val="VerbatimChar"/>
        </w:rPr>
        <w:t xml:space="preserve">WriteString</w:t>
      </w:r>
      <w:r>
        <w:t xml:space="preserve"> </w:t>
      </w:r>
      <w:r>
        <w:t xml:space="preserve">is implemented via</w:t>
      </w:r>
      <w:r>
        <w:t xml:space="preserve"> </w:t>
      </w:r>
      <w:r>
        <w:rPr>
          <w:rStyle w:val="VerbatimChar"/>
        </w:rPr>
        <w:t xml:space="preserve">Write([]byte(s))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github.com/gin-gonic/gin</w:t>
      </w:r>
      <w:r>
        <w:t xml:space="preserve"> </w:t>
      </w:r>
      <w:r>
        <w:t xml:space="preserve">(latest) — router.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github.com/google/uuid</w:t>
      </w:r>
      <w:r>
        <w:t xml:space="preserve"> </w:t>
      </w:r>
      <w:r>
        <w:t xml:space="preserve">— item ids.</w:t>
      </w:r>
    </w:p>
    <w:p>
      <w:pPr>
        <w:pStyle w:val="FirstParagraph"/>
      </w:pPr>
      <w:r>
        <w:t xml:space="preserve">Graceful fallback: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starts a TCP TLS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(h1/h2) AND the UDP</w:t>
      </w:r>
      <w:r>
        <w:t xml:space="preserve"> </w:t>
      </w:r>
      <w:r>
        <w:rPr>
          <w:rStyle w:val="VerbatimChar"/>
        </w:rPr>
        <w:t xml:space="preserve">http3.Server</w:t>
      </w:r>
      <w:r>
        <w:t xml:space="preserve">; every h1/h2 response advertises the h3 alt-svc via</w:t>
      </w:r>
      <w:r>
        <w:t xml:space="preserve"> </w:t>
      </w:r>
      <w:r>
        <w:rPr>
          <w:rStyle w:val="VerbatimChar"/>
        </w:rPr>
        <w:t xml:space="preserve">SetQUICHeaders</w:t>
      </w:r>
      <w:r>
        <w:t xml:space="preserve">, so clients upgrade to HTTP/3 when able.</w:t>
      </w:r>
      <w:r>
        <w:t xml:space="preserve"> </w:t>
      </w:r>
      <w:r>
        <w:rPr>
          <w:rStyle w:val="VerbatimChar"/>
        </w:rPr>
        <w:t xml:space="preserve">SWQ_H3=0</w:t>
      </w:r>
      <w:r>
        <w:t xml:space="preserve"> </w:t>
      </w:r>
      <w:r>
        <w:t xml:space="preserve">runs h1/h2</w:t>
      </w:r>
      <w:r>
        <w:t xml:space="preserve"> </w:t>
      </w:r>
      <w:r>
        <w:t xml:space="preserve">only.</w:t>
      </w:r>
    </w:p>
    <w:bookmarkEnd w:id="10"/>
    <w:bookmarkEnd w:id="11"/>
    <w:bookmarkStart w:id="12" w:name="X077dad28fb8653234970e78f4f09769206509b8"/>
    <w:p>
      <w:pPr>
        <w:pStyle w:val="Heading2"/>
      </w:pPr>
      <w:r>
        <w:t xml:space="preserve">3. Store choice — JSON file (justification, §11.4.6)</w:t>
      </w:r>
    </w:p>
    <w:p>
      <w:pPr>
        <w:pStyle w:val="FirstParagraph"/>
      </w:pPr>
      <w:r>
        <w:t xml:space="preserve">A reminder / scheduled-work queue is a</w:t>
      </w:r>
      <w:r>
        <w:t xml:space="preserve"> </w:t>
      </w:r>
      <w:r>
        <w:rPr>
          <w:b/>
          <w:bCs/>
        </w:rPr>
        <w:t xml:space="preserve">low-write-volume</w:t>
      </w:r>
      <w:r>
        <w:t xml:space="preserve"> </w:t>
      </w:r>
      <w:r>
        <w:t xml:space="preserve">workload. 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SQLite (mattn/go-sqlite3)</w:t>
      </w:r>
      <w:r>
        <w:t xml:space="preserve"> </w:t>
      </w:r>
      <w:r>
        <w:t xml:space="preserve">— needs CGO, complicating static/cross builds.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BoltDB</w:t>
      </w:r>
      <w:r>
        <w:t xml:space="preserve"> </w:t>
      </w:r>
      <w:r>
        <w:t xml:space="preserve">— an extra module dependency for a tiny dataset.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JSON file (chosen)</w:t>
      </w:r>
      <w:r>
        <w:t xml:space="preserve"> </w:t>
      </w:r>
      <w:r>
        <w:t xml:space="preserve">— zero CGO, zero extra module, trivially portable across</w:t>
      </w:r>
      <w:r>
        <w:t xml:space="preserve"> </w:t>
      </w:r>
      <w:r>
        <w:t xml:space="preserve">every supported platform (§11.4.81), human-inspectable for debugging.</w:t>
      </w:r>
    </w:p>
    <w:p>
      <w:pPr>
        <w:pStyle w:val="BodyText"/>
      </w:pPr>
      <w:r>
        <w:t xml:space="preserve">Durability: a</w:t>
      </w:r>
      <w:r>
        <w:t xml:space="preserve"> </w:t>
      </w:r>
      <w:r>
        <w:rPr>
          <w:rStyle w:val="VerbatimChar"/>
        </w:rPr>
        <w:t xml:space="preserve">sync.RWMutex</w:t>
      </w:r>
      <w:r>
        <w:t xml:space="preserve"> </w:t>
      </w:r>
      <w:r>
        <w:t xml:space="preserve">serialises all access; writes go through</w:t>
      </w:r>
      <w:r>
        <w:t xml:space="preserve"> </w:t>
      </w:r>
      <w:r>
        <w:t xml:space="preserve">write-temp-</w:t>
      </w:r>
      <w:r>
        <w:rPr>
          <w:rStyle w:val="VerbatimChar"/>
        </w:rPr>
        <w:t xml:space="preserve">fsync</w:t>
      </w:r>
      <w:r>
        <w:t xml:space="preserve">-rename (atomic replace), so a crash never leaves a torn file.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on a corrupt file returns an error rather than silently dropping data</w:t>
      </w:r>
      <w:r>
        <w:t xml:space="preserve"> </w:t>
      </w:r>
      <w:r>
        <w:t xml:space="preserve">(§11.4.6). The</w:t>
      </w:r>
      <w:r>
        <w:t xml:space="preserve"> </w:t>
      </w:r>
      <w:r>
        <w:rPr>
          <w:rStyle w:val="VerbatimChar"/>
        </w:rPr>
        <w:t xml:space="preserve">TestConcurrentCreate</w:t>
      </w:r>
      <w:r>
        <w:t xml:space="preserve"> </w:t>
      </w:r>
      <w:r>
        <w:t xml:space="preserve">test drives 50 concurrent creates through</w:t>
      </w:r>
      <w:r>
        <w:t xml:space="preserve"> </w:t>
      </w:r>
      <w:r>
        <w:t xml:space="preserve">the mutex with zero lost writes;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is clean.</w:t>
      </w:r>
    </w:p>
    <w:bookmarkEnd w:id="12"/>
    <w:bookmarkStart w:id="13" w:name="acp-surface-honesty-note-11.4.6-11.4.99"/>
    <w:p>
      <w:pPr>
        <w:pStyle w:val="Heading2"/>
      </w:pPr>
      <w:r>
        <w:t xml:space="preserve">4. ACP surface — honesty note (§11.4.6 / §11.4.99)</w:t>
      </w:r>
    </w:p>
    <w:p>
      <w:pPr>
        <w:pStyle w:val="FirstParagraph"/>
      </w:pPr>
      <w:r>
        <w:t xml:space="preserve">“ACP”</w:t>
      </w:r>
      <w:r>
        <w:t xml:space="preserve"> </w:t>
      </w:r>
      <w:r>
        <w:t xml:space="preserve">(Agent Client Protocol, agentclientprotocol.com) is an emerging</w:t>
      </w:r>
      <w:r>
        <w:t xml:space="preserve"> </w:t>
      </w:r>
      <w:r>
        <w:t xml:space="preserve">JSON-RPC-2.0-over-stdio protocol whose full session / prompt-turn model targets</w:t>
      </w:r>
      <w:r>
        <w:t xml:space="preserve"> </w:t>
      </w:r>
      <w:r>
        <w:t xml:space="preserve">interactive coding</w:t>
      </w:r>
      <w:r>
        <w:t xml:space="preserve"> </w:t>
      </w:r>
      <w:r>
        <w:rPr>
          <w:b/>
          <w:bCs/>
        </w:rPr>
        <w:t xml:space="preserve">agents</w:t>
      </w:r>
      <w:r>
        <w:t xml:space="preserve">, not a stateless work-queue service. Implementing</w:t>
      </w:r>
      <w:r>
        <w:t xml:space="preserve"> </w:t>
      </w:r>
      <w:r>
        <w:t xml:space="preserve">the complete ACP agent lifecycle here would invent behaviour that does not fit</w:t>
      </w:r>
      <w:r>
        <w:t xml:space="preserve"> </w:t>
      </w:r>
      <w:r>
        <w:t xml:space="preserve">this service. Instead</w:t>
      </w:r>
      <w:r>
        <w:t xml:space="preserve"> </w:t>
      </w:r>
      <w:r>
        <w:rPr>
          <w:rStyle w:val="VerbatimChar"/>
        </w:rPr>
        <w:t xml:space="preserve">internal/acp</w:t>
      </w:r>
      <w:r>
        <w:t xml:space="preserve"> </w:t>
      </w:r>
      <w:r>
        <w:t xml:space="preserve">exposes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newline-delimited</w:t>
      </w:r>
      <w:r>
        <w:t xml:space="preserve"> </w:t>
      </w:r>
      <w:r>
        <w:t xml:space="preserve">JSON-RPC-2.0-over-stdio transport ACP uses, dispatching to the identical tool set</w:t>
      </w:r>
      <w:r>
        <w:t xml:space="preserve"> </w:t>
      </w:r>
      <w:r>
        <w:t xml:space="preserve">as the MCP surface. It is therefore an</w:t>
      </w:r>
      <w:r>
        <w:t xml:space="preserve"> </w:t>
      </w:r>
      <w:r>
        <w:rPr>
          <w:b/>
          <w:bCs/>
        </w:rPr>
        <w:t xml:space="preserve">ACP-EQUIVALENT</w:t>
      </w:r>
      <w:r>
        <w:t xml:space="preserve"> </w:t>
      </w:r>
      <w:r>
        <w:t xml:space="preserve">adapter, clearly</w:t>
      </w:r>
      <w:r>
        <w:t xml:space="preserve"> </w:t>
      </w:r>
      <w:r>
        <w:t xml:space="preserve">labelled in source — not a claim of full ACP-agent conformance. This is stated as</w:t>
      </w:r>
      <w:r>
        <w:t xml:space="preserve"> </w:t>
      </w:r>
      <w:r>
        <w:t xml:space="preserve">a fact, not hidden behind a green test.</w:t>
      </w:r>
    </w:p>
    <w:bookmarkEnd w:id="13"/>
    <w:bookmarkStart w:id="14" w:name="Xd15664ffae43de33f4cdf53fb29a5130db74bf1"/>
    <w:p>
      <w:pPr>
        <w:pStyle w:val="Heading2"/>
      </w:pPr>
      <w:r>
        <w:t xml:space="preserve">5. Anti-bluff test coverage (§11.4 / §11.4.27 / §1.1)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internal/mcp</w:t>
      </w:r>
      <w:r>
        <w:t xml:space="preserve">) — model, lifecycle, derived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needs-verification, persistence round-trip, invalid-input rejection,</w:t>
      </w:r>
      <w:r>
        <w:t xml:space="preserve"> </w:t>
      </w:r>
      <w:r>
        <w:t xml:space="preserve">concurrency; MCP initialize / tools-list / tools-call / error paths.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</w:t>
      </w:r>
      <w:r>
        <w:t xml:space="preserve">, no mocks — §11.4.27) — boots the REAL</w:t>
      </w:r>
      <w:r>
        <w:t xml:space="preserve"> </w:t>
      </w:r>
      <w:r>
        <w:rPr>
          <w:rStyle w:val="VerbatimChar"/>
        </w:rPr>
        <w:t xml:space="preserve">http3.Server</w:t>
      </w:r>
      <w:r>
        <w:t xml:space="preserve"> </w:t>
      </w:r>
      <w:r>
        <w:t xml:space="preserve">on an ephemeral UDP port and round-trips create→list→mark-done→verify over</w:t>
      </w:r>
      <w:r>
        <w:t xml:space="preserve"> </w:t>
      </w:r>
      <w:r>
        <w:rPr>
          <w:b/>
          <w:bCs/>
        </w:rPr>
        <w:t xml:space="preserve">HTTP/3</w:t>
      </w:r>
      <w:r>
        <w:t xml:space="preserve"> </w:t>
      </w:r>
      <w:r>
        <w:t xml:space="preserve">(asserts</w:t>
      </w:r>
      <w:r>
        <w:t xml:space="preserve"> </w:t>
      </w:r>
      <w:r>
        <w:rPr>
          <w:rStyle w:val="VerbatimChar"/>
        </w:rPr>
        <w:t xml:space="preserve">resp.Proto == "HTTP/3.0"</w:t>
      </w:r>
      <w:r>
        <w:t xml:space="preserve">) with</w:t>
      </w:r>
      <w:r>
        <w:t xml:space="preserve"> </w:t>
      </w:r>
      <w:r>
        <w:rPr>
          <w:b/>
          <w:bCs/>
        </w:rPr>
        <w:t xml:space="preserve">brotli</w:t>
      </w:r>
      <w:r>
        <w:t xml:space="preserve"> </w:t>
      </w:r>
      <w:r>
        <w:t xml:space="preserve">(asserts</w:t>
      </w:r>
      <w:r>
        <w:t xml:space="preserve"> </w:t>
      </w:r>
      <w:r>
        <w:rPr>
          <w:rStyle w:val="VerbatimChar"/>
        </w:rPr>
        <w:t xml:space="preserve">Content-Encoding: br</w:t>
      </w:r>
      <w:r>
        <w:t xml:space="preserve"> </w:t>
      </w:r>
      <w:r>
        <w:t xml:space="preserve">and decodes it); plus the MCP-over-HTTP/3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§1.1 paired mutation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test/meta_mutation.sh</w:t>
      </w:r>
      <w:r>
        <w:t xml:space="preserve">) — breaks the mark-done</w:t>
      </w:r>
      <w:r>
        <w:t xml:space="preserve"> </w:t>
      </w:r>
      <w:r>
        <w:t xml:space="preserve">handler at source, asserts the suite goes RED, restores, asserts GREEN. Proves</w:t>
      </w:r>
      <w:r>
        <w:t xml:space="preserve"> </w:t>
      </w:r>
      <w:r>
        <w:t xml:space="preserve">the suite is not a bluff gate.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smoke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test/live_smoke.sh</w:t>
      </w:r>
      <w:r>
        <w:t xml:space="preserve">) — boots the built binary and confirms the</w:t>
      </w:r>
      <w:r>
        <w:t xml:space="preserve"> </w:t>
      </w:r>
      <w:r>
        <w:t xml:space="preserve">full lifecycle over REST-TLS + MCP-stdio, capturing the transcript under</w:t>
      </w:r>
      <w:r>
        <w:t xml:space="preserve"> </w:t>
      </w:r>
      <w:r>
        <w:rPr>
          <w:rStyle w:val="VerbatimChar"/>
        </w:rPr>
        <w:t xml:space="preserve">qa-results/&lt;ts&gt;/</w:t>
      </w:r>
      <w:r>
        <w:t xml:space="preserve">.</w:t>
      </w:r>
    </w:p>
    <w:p>
      <w:pPr>
        <w:pStyle w:val="FirstParagraph"/>
      </w:pPr>
      <w:r>
        <w:t xml:space="preserve">Honest boundary: brotli-over-HTTP/3 is asserted programmatically in the Go</w:t>
      </w:r>
      <w:r>
        <w:t xml:space="preserve"> </w:t>
      </w:r>
      <w:r>
        <w:t xml:space="preserve">integration test (a real h3 client);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live smoke uses the h1/h2</w:t>
      </w:r>
      <w:r>
        <w:t xml:space="preserve"> </w:t>
      </w:r>
      <w:r>
        <w:t xml:space="preserve">fallback of the same engine because curl does not speak HTTP/3 to a self-signed</w:t>
      </w:r>
      <w:r>
        <w:t xml:space="preserve"> </w:t>
      </w:r>
      <w:r>
        <w:t xml:space="preserve">cert here.</w:t>
      </w:r>
    </w:p>
    <w:bookmarkEnd w:id="14"/>
    <w:bookmarkStart w:id="15" w:name="consumer-wiring"/>
    <w:p>
      <w:pPr>
        <w:pStyle w:val="Heading2"/>
      </w:pPr>
      <w:r>
        <w:t xml:space="preserve">6. Consumer wiring</w:t>
      </w:r>
    </w:p>
    <w:p>
      <w:pPr>
        <w:pStyle w:val="Compact"/>
        <w:numPr>
          <w:ilvl w:val="0"/>
          <w:numId w:val="1003"/>
        </w:numPr>
      </w:pPr>
      <w:r>
        <w:t xml:space="preserve">MCP registration:</w:t>
      </w:r>
      <w:r>
        <w:t xml:space="preserve"> </w:t>
      </w:r>
      <w:r>
        <w:rPr>
          <w:rStyle w:val="VerbatimChar"/>
        </w:rPr>
        <w:t xml:space="preserve">constitution/mcp/scheduled-work-mcp.json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Claude Code plugin:</w:t>
      </w:r>
      <w:r>
        <w:t xml:space="preserve"> </w:t>
      </w:r>
      <w:r>
        <w:rPr>
          <w:rStyle w:val="VerbatimChar"/>
        </w:rPr>
        <w:t xml:space="preserve">constitution/plugins/scheduled-work/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Skill:</w:t>
      </w:r>
      <w:r>
        <w:t xml:space="preserve"> </w:t>
      </w:r>
      <w:r>
        <w:rPr>
          <w:rStyle w:val="VerbatimChar"/>
        </w:rPr>
        <w:t xml:space="preserve">constitution/skills/scheduled-work-queue/</w:t>
      </w:r>
      <w:r>
        <w:t xml:space="preserve"> </w:t>
      </w:r>
      <w:r>
        <w:t xml:space="preserve">(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).</w:t>
      </w:r>
    </w:p>
    <w:bookmarkEnd w:id="15"/>
    <w:bookmarkStart w:id="16" w:name="Xc10735e9a1075b1b2fc72d877de644519fe660d"/>
    <w:p>
      <w:pPr>
        <w:pStyle w:val="Heading2"/>
      </w:pPr>
      <w:r>
        <w:t xml:space="preserve">7. Proposed governance-anchor handoff (for the conductor — NOT applied here)</w:t>
      </w:r>
    </w:p>
    <w:p>
      <w:pPr>
        <w:pStyle w:val="FirstParagraph"/>
      </w:pPr>
      <w:r>
        <w:t xml:space="preserve">Per the task’s file-scope isolation, this component does NOT edit Constitution.md</w:t>
      </w:r>
      <w:r>
        <w:t xml:space="preserve"> </w:t>
      </w:r>
      <w:r>
        <w:t xml:space="preserve">or any carrier. If the operator/conductor wishes to make this infrastructure a</w:t>
      </w:r>
      <w:r>
        <w:t xml:space="preserve"> </w:t>
      </w:r>
      <w:r>
        <w:t xml:space="preserve">mandated capability, the following anchor text is PROPOSED for integration by the</w:t>
      </w:r>
      <w:r>
        <w:t xml:space="preserve"> </w:t>
      </w:r>
      <w:r>
        <w:t xml:space="preserve">conductor (classification: universal, §11.4.17):</w:t>
      </w:r>
    </w:p>
    <w:p>
      <w:pPr>
        <w:pStyle w:val="BlockText"/>
      </w:pPr>
      <w:r>
        <w:rPr>
          <w:b/>
          <w:bCs/>
        </w:rPr>
        <w:t xml:space="preserve">§11.4.NNN — Scheduled-work / reminder verify-before-report backing service.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action-prefix (§11.4.140) MUST be backed by a</w:t>
      </w:r>
      <w:r>
        <w:t xml:space="preserve"> </w:t>
      </w:r>
      <w:r>
        <w:t xml:space="preserve">durable scheduled-work queue (the</w:t>
      </w:r>
      <w:r>
        <w:t xml:space="preserve"> </w:t>
      </w:r>
      <w:r>
        <w:rPr>
          <w:rStyle w:val="VerbatimChar"/>
        </w:rPr>
        <w:t xml:space="preserve">scheduled-work-engine</w:t>
      </w:r>
      <w:r>
        <w:t xml:space="preserve">) so that deferred /</w:t>
      </w:r>
      <w:r>
        <w:t xml:space="preserve"> </w:t>
      </w:r>
      <w:r>
        <w:t xml:space="preserve">background work is recorded with a lifecycle status, and a REMINDER MUST query</w:t>
      </w:r>
      <w:r>
        <w:t xml:space="preserve"> </w:t>
      </w:r>
      <w:r>
        <w:rPr>
          <w:rStyle w:val="VerbatimChar"/>
        </w:rPr>
        <w:t xml:space="preserve">list_needs_verification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uncertain</w:t>
      </w:r>
      <w:r>
        <w:t xml:space="preserve">/</w:t>
      </w:r>
      <w:r>
        <w:rPr>
          <w:rStyle w:val="VerbatimChar"/>
        </w:rPr>
        <w:t xml:space="preserve">overdue</w:t>
      </w:r>
      <w:r>
        <w:t xml:space="preserve">) and re-confirm each</w:t>
      </w:r>
      <w:r>
        <w:t xml:space="preserve"> </w:t>
      </w:r>
      <w:r>
        <w:t xml:space="preserve">item’s real outcome with captured evidence (§11.4.5/§11.4.69) BEFORE the agent</w:t>
      </w:r>
      <w:r>
        <w:t xml:space="preserve"> </w:t>
      </w:r>
      <w:r>
        <w:t xml:space="preserve">reports it done (§11.4.6/§11.4.108) — never marking an item done on assumption.</w:t>
      </w:r>
      <w:r>
        <w:t xml:space="preserve"> </w:t>
      </w:r>
      <w:r>
        <w:t xml:space="preserve">The queue is decoupled + project-agnostic (§11.4.28), consumed by reference,</w:t>
      </w:r>
      <w:r>
        <w:t xml:space="preserve"> </w:t>
      </w:r>
      <w:r>
        <w:t xml:space="preserve">and the loop done-condition (§11.4.87/§11.4.126) MUST NOT read satisfied while</w:t>
      </w:r>
      <w:r>
        <w:t xml:space="preserve"> </w:t>
      </w:r>
      <w:r>
        <w:t xml:space="preserve">any tracked item is non-terminal. Recommended gate</w:t>
      </w:r>
      <w:r>
        <w:t xml:space="preserve"> </w:t>
      </w:r>
      <w:r>
        <w:rPr>
          <w:rStyle w:val="VerbatimChar"/>
        </w:rPr>
        <w:t xml:space="preserve">CM-SCHEDULED-WORK-VERIFY-BEFORE-DONE</w:t>
      </w:r>
      <w:r>
        <w:t xml:space="preserve"> </w:t>
      </w:r>
      <w:r>
        <w:t xml:space="preserve">+ paired §1.1 mutation. Composes</w:t>
      </w:r>
      <w:r>
        <w:t xml:space="preserve"> </w:t>
      </w:r>
      <w:r>
        <w:t xml:space="preserve">§11.4.6/§11.4.28/§11.4.108/§11.4.116/§11.4.126/§11.4.140.</w:t>
      </w:r>
    </w:p>
    <w:bookmarkEnd w:id="16"/>
    <w:bookmarkStart w:id="17" w:name="cross-references"/>
    <w:p>
      <w:pPr>
        <w:pStyle w:val="Heading2"/>
      </w:pPr>
      <w:r>
        <w:t xml:space="preserve">8. Cross-references</w:t>
      </w:r>
    </w:p>
    <w:p>
      <w:pPr>
        <w:pStyle w:val="FirstParagraph"/>
      </w:pPr>
      <w:r>
        <w:t xml:space="preserve">§11.4.6 · §11.4.8 · §11.4.28 · §11.4.30 · §11.4.77 · §11.4.81 · §11.4.108 ·</w:t>
      </w:r>
      <w:r>
        <w:t xml:space="preserve"> </w:t>
      </w:r>
      <w:r>
        <w:t xml:space="preserve">§11.4.116 · §11.4.126 · §11.4.140 · §11.4.164 · §1.1.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2026-07-02T09:20:26Z</dcterms:created>
  <dcterms:modified xsi:type="dcterms:W3CDTF">2026-07-02T09:20:26Z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