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multitrack_arbitration_ANCHOR_DRAFT</w:t>
      </w:r>
    </w:p>
    <w:bookmarkStart w:id="14" w:name="X9e42e24483498cdeec1dadf947fad141cc6f0f2"/>
    <w:p>
      <w:pPr>
        <w:pStyle w:val="Heading1"/>
      </w:pPr>
      <w:r>
        <w:t xml:space="preserve">DRAFT — Universal anchor §11.4.176: Conflict-free multi-track work-division + exactly-once claim registry + capability-aware deadlock-proof device-lock (REM-17 + REM-02 + REM-03)</w:t>
      </w:r>
    </w:p>
    <w:p>
      <w:pPr>
        <w:pStyle w:val="FirstParagraph"/>
      </w:pPr>
      <w:r>
        <w:rPr>
          <w:b/>
          <w:bCs/>
        </w:rPr>
        <w:t xml:space="preserve">Revision:</w:t>
      </w:r>
      <w:r>
        <w:t xml:space="preserve"> </w:t>
      </w:r>
      <w:r>
        <w:t xml:space="preserve">1</w:t>
      </w:r>
      <w:r>
        <w:t xml:space="preserve"> </w:t>
      </w:r>
      <w:r>
        <w:rPr>
          <w:b/>
          <w:bCs/>
        </w:rPr>
        <w:t xml:space="preserve">Last modified:</w:t>
      </w:r>
      <w:r>
        <w:t xml:space="preserve"> </w:t>
      </w:r>
      <w:r>
        <w:t xml:space="preserve">2026-07-02T23:45:00Z</w:t>
      </w:r>
      <w:r>
        <w:t xml:space="preserve"> </w:t>
      </w:r>
      <w:r>
        <w:rPr>
          <w:b/>
          <w:bCs/>
        </w:rPr>
        <w:t xml:space="preserve">Status:</w:t>
      </w:r>
      <w:r>
        <w:t xml:space="preserve"> </w:t>
      </w:r>
      <w:r>
        <w:t xml:space="preserve">READY-TO-LAND draft (NOT yet landed). Conductor lands via §11.4.26 (fetch-first → reconcile final number → paste into the 5 carriers → propagation gate + paired mutation → push all upstreams ff-only §11.4.113). This file is authored by Stream A per §11.4.101 (safe reversible artifact instead of a high-blast-radius half-edit of the 5 live carriers under an active rate-limit).</w:t>
      </w:r>
      <w:r>
        <w:t xml:space="preserve"> </w:t>
      </w:r>
      <w:r>
        <w:rPr>
          <w:b/>
          <w:bCs/>
        </w:rPr>
        <w:t xml:space="preserve">Classification: universal (§11.4.17)</w:t>
      </w:r>
      <w:r>
        <w:t xml:space="preserve"> </w:t>
      </w:r>
      <w:r>
        <w:t xml:space="preserve">— a project-neutral multi-track parallel-development safety mechanism reusable by ANY project running N work-streams over M shared resources; the consuming project supplies its concrete claim-store, device pool, and resource-metric sources per §11.4.35. Nothing ATMOSphere-specific lands in the canonical root (REM-03).</w:t>
      </w:r>
      <w:r>
        <w:t xml:space="preserve"> </w:t>
      </w:r>
      <w:r>
        <w:rPr>
          <w:b/>
          <w:bCs/>
        </w:rPr>
        <w:t xml:space="preserve">Proposed number:</w:t>
      </w:r>
      <w:r>
        <w:t xml:space="preserve"> </w:t>
      </w:r>
      <w:r>
        <w:t xml:space="preserve">§11.4.176 (both §11.4.175 and §11.4.176 verified FREE 2026-07-02; §11.4.175 is P0_PLAN-reserved — conductor reconciles at §11.4.26 fetch-first time).</w:t>
      </w:r>
    </w:p>
    <w:p>
      <w:r>
        <w:pict>
          <v:rect style="width:0;height:1.5pt" o:hralign="center" o:hrstd="t" o:hr="t"/>
        </w:pict>
      </w:r>
    </w:p>
    <w:bookmarkStart w:id="11" w:name="X60209d93a4ba3e8ad301c9367624449044f4514"/>
    <w:p>
      <w:pPr>
        <w:pStyle w:val="Heading2"/>
      </w:pPr>
      <w:r>
        <w:t xml:space="preserve">Canonical Constitution.md section (paste-ready)</w:t>
      </w:r>
    </w:p>
    <w:bookmarkStart w:id="10" w:name="X5c5b5b95ea1eb556d8be2b95ff258b3091ac760"/>
    <w:p>
      <w:pPr>
        <w:pStyle w:val="Heading3"/>
      </w:pPr>
      <w:r>
        <w:t xml:space="preserve">§11.4.176 — Conflict-free multi-track work-division + exactly-once claim registry + capability-aware deadlock-proof device-lock (User mandate, 2026-07-02)</w:t>
      </w:r>
    </w:p>
    <w:p>
      <w:pPr>
        <w:pStyle w:val="FirstParagraph"/>
      </w:pPr>
      <w:r>
        <w:rPr>
          <w:b/>
          <w:bCs/>
        </w:rPr>
        <w:t xml:space="preserve">Forensic anchor — verbatim user mandate (2026-07-02, REM-17):</w:t>
      </w:r>
      <w:r>
        <w:t xml:space="preserve"> </w:t>
      </w:r>
      <w:r>
        <w:t xml:space="preserve">"MUST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EXTEND the constitution submodule with all these critical details for full universal reusability by all projects." (REM-02): "there MUST exist proper synchronization mechanism for flashing and use of device ... lock ... release ... available test devices pool and information about held locks ... dead-lock-proof ... a track locks one OR more devices selected by required capability."</w:t>
      </w:r>
    </w:p>
    <w:p>
      <w:pPr>
        <w:pStyle w:val="BodyText"/>
      </w:pP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Both are conflict-free BY CONSTRUCTION, not by convention.</w:t>
      </w:r>
    </w:p>
    <w:p>
      <w:pPr>
        <w:pStyle w:val="BodyText"/>
      </w:pP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and are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p>
    <w:p>
      <w:pPr>
        <w:pStyle w:val="BodyText"/>
      </w:pP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Reference implementation (this project):</w:t>
      </w:r>
      <w:r>
        <w:t xml:space="preserve"> </w:t>
      </w:r>
      <w:r>
        <w:rPr>
          <w:rStyle w:val="VerbatimChar"/>
        </w:rPr>
        <w:t xml:space="preserve">scripts/multitrack/multitrack_device_lock.sh</w:t>
      </w:r>
      <w:r>
        <w:t xml:space="preserve"> </w:t>
      </w:r>
      <w:r>
        <w:t xml:space="preserve">+ its anti-bluff stress/chaos/paired-mutation proof</w:t>
      </w:r>
      <w:r>
        <w:t xml:space="preserve"> </w:t>
      </w:r>
      <w:r>
        <w:rPr>
          <w:rStyle w:val="VerbatimChar"/>
        </w:rPr>
        <w:t xml:space="preserve">scripts/multitrack/test_multitrack_device_lock.sh</w:t>
      </w:r>
      <w:r>
        <w:t xml:space="preserve"> </w:t>
      </w:r>
      <w:r>
        <w:t xml:space="preserve">(8/8 PASS, deterministic ×2, mutation CAUGHT: guard-removed arbiter double-leases 12/round vs 1/round for the real arbiter).</w:t>
      </w:r>
    </w:p>
    <w:p>
      <w:pPr>
        <w:pStyle w:val="BodyText"/>
      </w:pP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build-resource stats / §11.4.5 captured evidence), never guessed (§11.4.6). "Run more tracks / bigger</w:t>
      </w:r>
      <w:r>
        <w:t xml:space="preserve"> </w:t>
      </w:r>
      <w:r>
        <w:rPr>
          <w:rStyle w:val="VerbatimChar"/>
        </w:rPr>
        <w:t xml:space="preserve">-j</w:t>
      </w:r>
      <w:r>
        <w:t xml:space="preserve">" without captured headroom evidence is a §11.4.6 + §12.6 violation.</w:t>
      </w:r>
    </w:p>
    <w:p>
      <w:pPr>
        <w:pStyle w:val="BodyText"/>
      </w:pPr>
      <w:r>
        <w:rPr>
          <w:b/>
          <w:bCs/>
        </w:rPr>
        <w:t xml:space="preserve">Distinct-but-composing:</w:t>
      </w:r>
      <w:r>
        <w:t xml:space="preserve"> </w:t>
      </w:r>
      <w:r>
        <w:t xml:space="preserve">(A) arbitrates WORKABLE-ITEM/task assignment; (B) arbitrates HARDWARE; they are the two multi-track safety layers and compose (an alias/account resource dimension, REM-18, is a third that reuses the same registry pattern).</w:t>
      </w:r>
    </w:p>
    <w:p>
      <w:pPr>
        <w:pStyle w:val="BodyText"/>
      </w:pPr>
      <w:r>
        <w:t xml:space="preserve">Composes §11.4.6 / §11.4.17 / §11.4.24 / §11.4.28 / §11.4.35 / §11.4.41 / §11.4.58 / §11.4.84 / §11.4.85 / §11.4.103 / §11.4.113 / §11.4.116 / §11.4.119 / §11.4.147 / §11.4.167 / §12.6 / §9.2.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(no item/group claimed by &gt;1 track) +</w:t>
      </w:r>
      <w:r>
        <w:t xml:space="preserve"> </w:t>
      </w:r>
      <w:r>
        <w:rPr>
          <w:rStyle w:val="VerbatimChar"/>
        </w:rPr>
        <w:t xml:space="preserve">CM-NO-CROSS-TRACK-SCOPE-OVERLAP</w:t>
      </w:r>
      <w:r>
        <w:t xml:space="preserve"> </w:t>
      </w:r>
      <w:r>
        <w:t xml:space="preserve">(per-track file-scope manifests are pairwise disjoint) +</w:t>
      </w:r>
      <w:r>
        <w:t xml:space="preserve"> </w:t>
      </w:r>
      <w:r>
        <w:rPr>
          <w:rStyle w:val="VerbatimChar"/>
        </w:rPr>
        <w:t xml:space="preserve">CM-LOGICAL-GROUP-COHESION</w:t>
      </w:r>
      <w:r>
        <w:t xml:space="preserve"> </w:t>
      </w:r>
      <w:r>
        <w:t xml:space="preserve">(shared-seam items are one group, claimed whole) +</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§11.4.176. Non-compliance is a release blocker regardless of context.</w:t>
      </w:r>
    </w:p>
    <w:p>
      <w:r>
        <w:pict>
          <v:rect style="width:0;height:1.5pt" o:hralign="center" o:hrstd="t" o:hr="t"/>
        </w:pict>
      </w:r>
    </w:p>
    <w:bookmarkEnd w:id="10"/>
    <w:bookmarkEnd w:id="11"/>
    <w:bookmarkStart w:id="12" w:name="X42e4a5457cd6cd8c97d2afceb9d2332af1ab272"/>
    <w:p>
      <w:pPr>
        <w:pStyle w:val="Heading2"/>
      </w:pPr>
      <w:r>
        <w:t xml:space="preserve">Paste-ready compact mirror line (for CLAUDE.md / AGENTS.md / QWEN.md / GEMINI.md anchor-list sections)</w:t>
      </w:r>
    </w:p>
    <w:p>
      <w:pPr>
        <w:pStyle w:val="SourceCode"/>
      </w:pPr>
      <w:r>
        <w:rPr>
          <w:rStyle w:val="VerbatimChar"/>
        </w:rPr>
        <w:t xml:space="preserve">- §11.4.176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[full → CLAUDE_ANCHORS_FULL.md + Constitution.md] · refs: §11.4.6 §11.4.17 §11.4.24 §11.4.28 §11.4.35 §11.4.41 §11.4.58 §11.4.84 §11.4.85 §11.4.103 §11.4.113 §11.4.116 §11.4.119 §11.4.147 §11.4.167 §12.6 §9.2 §11.4.176</w:t>
      </w:r>
    </w:p>
    <w:p>
      <w:r>
        <w:pict>
          <v:rect style="width:0;height:1.5pt" o:hralign="center" o:hrstd="t" o:hr="t"/>
        </w:pict>
      </w:r>
    </w:p>
    <w:bookmarkEnd w:id="12"/>
    <w:bookmarkStart w:id="13" w:name="X587c27f07fcc742a06c49c05cc8552a549a43b2"/>
    <w:p>
      <w:pPr>
        <w:pStyle w:val="Heading2"/>
      </w:pPr>
      <w:r>
        <w:t xml:space="preserve">§11.4.26 conductor landing checklist (do NOT skip a step)</w:t>
      </w:r>
    </w:p>
    <w:p>
      <w:pPr>
        <w:pStyle w:val="Compact"/>
        <w:numPr>
          <w:ilvl w:val="0"/>
          <w:numId w:val="1001"/>
        </w:numPr>
      </w:pPr>
      <w:r>
        <w:rPr>
          <w:b/>
          <w:bCs/>
        </w:rPr>
        <w:t xml:space="preserve">Fetch-first</w:t>
      </w:r>
      <w:r>
        <w:t xml:space="preserve"> </w:t>
      </w:r>
      <w:r>
        <w:t xml:space="preserve">— inside</w:t>
      </w:r>
      <w:r>
        <w:t xml:space="preserve"> </w:t>
      </w:r>
      <w:r>
        <w:rPr>
          <w:rStyle w:val="VerbatimChar"/>
        </w:rPr>
        <w:t xml:space="preserve">constitution/</w:t>
      </w:r>
      <w:r>
        <w:t xml:space="preserve">:</w:t>
      </w:r>
      <w:r>
        <w:t xml:space="preserve"> </w:t>
      </w:r>
      <w:r>
        <w:rPr>
          <w:rStyle w:val="VerbatimChar"/>
        </w:rPr>
        <w:t xml:space="preserve">git fetch --all --prune</w:t>
      </w:r>
      <w:r>
        <w:t xml:space="preserve"> </w:t>
      </w:r>
      <w:r>
        <w:t xml:space="preserve">every remote;</w:t>
      </w:r>
      <w:r>
        <w:t xml:space="preserve"> </w:t>
      </w:r>
      <w:r>
        <w:rPr>
          <w:rStyle w:val="VerbatimChar"/>
        </w:rPr>
        <w:t xml:space="preserve">git pull --ff-only</w:t>
      </w:r>
      <w:r>
        <w:t xml:space="preserve">. Re-confirm §11.4.176 is STILL free (P0_PLAN's §11.4.175 or another anchor may have landed); if taken, bump to the next free integer and update every occurrence in this draft + the mirror line before pasting.</w:t>
      </w:r>
    </w:p>
    <w:p>
      <w:pPr>
        <w:pStyle w:val="Compact"/>
        <w:numPr>
          <w:ilvl w:val="0"/>
          <w:numId w:val="1001"/>
        </w:numPr>
      </w:pPr>
      <w:r>
        <w:rPr>
          <w:b/>
          <w:bCs/>
        </w:rPr>
        <w:t xml:space="preserve">Paste</w:t>
      </w:r>
      <w:r>
        <w:t xml:space="preserve"> </w:t>
      </w:r>
      <w:r>
        <w:t xml:space="preserve">the §11.4.176 section into</w:t>
      </w:r>
      <w:r>
        <w:t xml:space="preserve"> </w:t>
      </w:r>
      <w:r>
        <w:rPr>
          <w:rStyle w:val="VerbatimChar"/>
        </w:rPr>
        <w:t xml:space="preserve">constitution/Constitution.md</w:t>
      </w:r>
      <w:r>
        <w:t xml:space="preserve"> </w:t>
      </w:r>
      <w:r>
        <w:t xml:space="preserve">after the current last anchor; append the compact mirror line to the anchor-list section of</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w:t>
      </w:r>
      <w:r>
        <w:t xml:space="preserve">(5 carriers, §11.4.35/§11.4.157). Add the full text to</w:t>
      </w:r>
      <w:r>
        <w:t xml:space="preserve"> </w:t>
      </w:r>
      <w:r>
        <w:rPr>
          <w:rStyle w:val="VerbatimChar"/>
        </w:rPr>
        <w:t xml:space="preserve">constitution/CLAUDE_ANCHORS_FULL.md</w:t>
      </w:r>
      <w:r>
        <w:t xml:space="preserve"> </w:t>
      </w:r>
      <w:r>
        <w:t xml:space="preserve">if that expansion file is in use.</w:t>
      </w:r>
    </w:p>
    <w:p>
      <w:pPr>
        <w:pStyle w:val="Compact"/>
        <w:numPr>
          <w:ilvl w:val="0"/>
          <w:numId w:val="1001"/>
        </w:numPr>
      </w:pPr>
      <w:r>
        <w:rPr>
          <w:b/>
          <w:bCs/>
        </w:rPr>
        <w:t xml:space="preserve">Bump</w:t>
      </w:r>
      <w:r>
        <w:t xml:space="preserve"> </w:t>
      </w:r>
      <w:r>
        <w:t xml:space="preserve">each carrier's revision-header</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(§11.4.44); regenerate HTML/PDF/DOCX exports (§11.4.65/§11.4.73 pipeline).</w:t>
      </w:r>
    </w:p>
    <w:p>
      <w:pPr>
        <w:pStyle w:val="Compact"/>
        <w:numPr>
          <w:ilvl w:val="0"/>
          <w:numId w:val="1001"/>
        </w:numPr>
      </w:pPr>
      <w:r>
        <w:rPr>
          <w:b/>
          <w:bCs/>
        </w:rPr>
        <w:t xml:space="preserve">Wire</w:t>
      </w:r>
      <w:r>
        <w:t xml:space="preserve"> </w:t>
      </w:r>
      <w:r>
        <w:t xml:space="preserve">the propagation gate</w:t>
      </w:r>
      <w:r>
        <w:t xml:space="preserve"> </w:t>
      </w:r>
      <w:r>
        <w:rPr>
          <w:rStyle w:val="VerbatimChar"/>
        </w:rPr>
        <w:t xml:space="preserve">CM-COVENANT-114-176-PROPAGATION</w:t>
      </w:r>
      <w:r>
        <w:t xml:space="preserve"> </w:t>
      </w:r>
      <w:r>
        <w:t xml:space="preserve">+ the 4 recommended gates + their paired §1.1 mutations (gate-code = a separate tracked work item; may land in a follow-up commit).</w:t>
      </w:r>
    </w:p>
    <w:p>
      <w:pPr>
        <w:pStyle w:val="Compact"/>
        <w:numPr>
          <w:ilvl w:val="0"/>
          <w:numId w:val="1001"/>
        </w:numPr>
      </w:pPr>
      <w:r>
        <w:rPr>
          <w:b/>
          <w:bCs/>
        </w:rPr>
        <w:t xml:space="preserve">Validate</w:t>
      </w:r>
      <w:r>
        <w:t xml:space="preserve"> </w:t>
      </w:r>
      <w:r>
        <w:t xml:space="preserve">— no conflict markers;</w:t>
      </w:r>
      <w:r>
        <w:t xml:space="preserve"> </w:t>
      </w:r>
      <w:r>
        <w:rPr>
          <w:rStyle w:val="VerbatimChar"/>
        </w:rPr>
        <w:t xml:space="preserve">meta_test_inheritance.sh</w:t>
      </w:r>
      <w:r>
        <w:t xml:space="preserve"> </w:t>
      </w:r>
      <w:r>
        <w:t xml:space="preserve">(or equivalent); re-run pre-build.</w:t>
      </w:r>
    </w:p>
    <w:p>
      <w:pPr>
        <w:pStyle w:val="Compact"/>
        <w:numPr>
          <w:ilvl w:val="0"/>
          <w:numId w:val="1001"/>
        </w:numPr>
      </w:pPr>
      <w:r>
        <w:rPr>
          <w:b/>
          <w:bCs/>
        </w:rPr>
        <w:t xml:space="preserve">Commit + push to ALL upstreams</w:t>
      </w:r>
      <w:r>
        <w:t xml:space="preserve"> </w:t>
      </w:r>
      <w:r>
        <w:t xml:space="preserve">(§2.1) ff-only (§11.4.113 — NEVER force-push); bump the consuming project's submodule pointer in the same commit (§11.4.26 step 7).</w:t>
      </w:r>
    </w:p>
    <w:p>
      <w:pPr>
        <w:pStyle w:val="Compact"/>
        <w:numPr>
          <w:ilvl w:val="0"/>
          <w:numId w:val="1001"/>
        </w:numPr>
      </w:pPr>
      <w:r>
        <w:rPr>
          <w:b/>
          <w:bCs/>
        </w:rPr>
        <w:t xml:space="preserve">Delete this draft</w:t>
      </w:r>
      <w:r>
        <w:t xml:space="preserve"> </w:t>
      </w:r>
      <w:r>
        <w:t xml:space="preserve">once landed (its content now lives in the live carriers).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multitrack_arbitration_ANCHOR_DRAFT</dc:title>
  <dc:creator/>
  <dc:language>en</dc:language>
  <cp:keywords/>
  <dcterms:created xsi:type="dcterms:W3CDTF">2026-07-02T20:37:22Z</dcterms:created>
  <dcterms:modified xsi:type="dcterms:W3CDTF">2026-07-02T20:37:22Z</dcterms:modified>
</cp:coreProperties>
</file>

<file path=docProps/custom.xml><?xml version="1.0" encoding="utf-8"?>
<Properties xmlns="http://schemas.openxmlformats.org/officeDocument/2006/custom-properties" xmlns:vt="http://schemas.openxmlformats.org/officeDocument/2006/docPropsVTypes"/>
</file>