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issues</w:t>
      </w:r>
    </w:p>
    <w:bookmarkStart w:id="10" w:name="Xd3c1c394bfeb4f9658b174f379f58734166a777"/>
    <w:p>
      <w:pPr>
        <w:pStyle w:val="Heading1"/>
      </w:pPr>
      <w:r>
        <w:t xml:space="preserve">Golden-BAD integrity — Feature closed as Fixed + orphan dep (MUST FAIL)</w:t>
      </w:r>
    </w:p>
    <w:bookmarkStart w:id="9" w:name="Xa48fb6a0e642e8e0393c86f5101dfe8dff0195f"/>
    <w:p>
      <w:pPr>
        <w:pStyle w:val="Heading2"/>
      </w:pPr>
      <w:r>
        <w:t xml:space="preserve">§4.1. [ATM-500] Some new capability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Depends:</w:t>
      </w:r>
      <w:r>
        <w:t xml:space="preserve"> </w:t>
      </w:r>
      <w:r>
        <w:t xml:space="preserve">ATM-999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issues</dc:title>
  <dc:creator/>
  <dc:language>en</dc:language>
  <cp:keywords/>
  <dcterms:created xsi:type="dcterms:W3CDTF">2026-07-08T09:08:07Z</dcterms:created>
  <dcterms:modified xsi:type="dcterms:W3CDTF">2026-07-08T09:08:07Z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