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X6335e12d3950df7a3903effc51ca5477203d787"/>
    <w:p>
      <w:pPr>
        <w:pStyle w:val="Heading1"/>
      </w:pPr>
      <w:r>
        <w:t xml:space="preserve">Golden-BAD timeline — deadline-before-dependency (MUST FAIL TIME-02)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ATM-300</w:t>
            </w:r>
          </w:p>
        </w:tc>
        <w:tc>
          <w:tcPr/>
          <w:p>
            <w:pPr>
              <w:pStyle w:val="Compact"/>
            </w:pPr>
            <w:r>
              <w:t xml:space="preserve">Base module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ATM-301</w:t>
            </w:r>
          </w:p>
        </w:tc>
        <w:tc>
          <w:tcPr/>
          <w:p>
            <w:pPr>
              <w:pStyle w:val="Compact"/>
            </w:pPr>
            <w:r>
              <w:t xml:space="preserve">Dependent module</w:t>
            </w:r>
          </w:p>
        </w:tc>
        <w:tc>
          <w:tcPr/>
          <w:p>
            <w:pPr>
              <w:pStyle w:val="Compact"/>
            </w:pPr>
            <w:r>
              <w:t xml:space="preserve">dependent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2026-07-08T09:08:08Z</dcterms:created>
  <dcterms:modified xsi:type="dcterms:W3CDTF">2026-07-08T09:08:08Z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