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GEMINI</w:t>
      </w:r>
    </w:p>
    <w:bookmarkStart w:id="16" w:name="helix-constitution--universal-geminimd"/>
    <w:p>
      <w:pPr>
        <w:pStyle w:val="Heading1"/>
      </w:pPr>
      <w:r>
        <w:t xml:space="preserve">Helix Constitution — Universal GEMINI.md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9</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2026-07-09T11:37:44Z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§11.4.187 — Automatic multi-track ruler orchestration (User mandate 2026-07-04; landed 2026-07-09): every project incorporating this constitution MUST ship its multi-track parallel-development orchestration as a UNIVERSAL, AUTOMATIC, OUT-OF-THE-BOX, INHERITED capability, not a per-project reimplementation, via a single conductor session that programmatically spawns/drives/resumes/monitors/controls per-track headless workers (native headless</w:t>
            </w:r>
            <w:r>
              <w:t xml:space="preserve"> </w:t>
            </w:r>
            <w:r>
              <w:rPr>
                <w:rStyle w:val="VerbatimChar"/>
              </w:rPr>
              <w:t xml:space="preserve">claude -p --output-format stream-json</w:t>
            </w:r>
            <w:r>
              <w:t xml:space="preserve">, session_id captured from the first</w:t>
            </w:r>
            <w:r>
              <w:t xml:space="preserve"> </w:t>
            </w:r>
            <w:r>
              <w:rPr>
                <w:rStyle w:val="VerbatimChar"/>
              </w:rPr>
              <w:t xml:space="preserve">init</w:t>
            </w:r>
            <w:r>
              <w:t xml:space="preserve"> </w:t>
            </w:r>
            <w:r>
              <w:t xml:space="preserve">event, success read from</w:t>
            </w:r>
            <w:r>
              <w:t xml:space="preserve"> </w:t>
            </w:r>
            <w:r>
              <w:rPr>
                <w:rStyle w:val="VerbatimChar"/>
              </w:rPr>
              <w:t xml:space="preserve">result.is_error</w:t>
            </w:r>
            <w:r>
              <w:t xml:space="preserve"> </w:t>
            </w:r>
            <w:r>
              <w:t xml:space="preserve">never the process exit code,</w:t>
            </w:r>
            <w:r>
              <w:t xml:space="preserve"> </w:t>
            </w:r>
            <w:r>
              <w:rPr>
                <w:rStyle w:val="VerbatimChar"/>
              </w:rPr>
              <w:t xml:space="preserve">--resume</w:t>
            </w:r>
            <w:r>
              <w:t xml:space="preserve"> </w:t>
            </w:r>
            <w:r>
              <w:t xml:space="preserve">invoked from the same cwd+env); per-subscription auth (</w:t>
            </w:r>
            <w:r>
              <w:rPr>
                <w:rStyle w:val="VerbatimChar"/>
              </w:rPr>
              <w:t xml:space="preserve">unset ANTHROPIC_API_KEY</w:t>
            </w:r>
            <w:r>
              <w:t xml:space="preserve"> </w:t>
            </w:r>
            <w:r>
              <w:t xml:space="preserve">+ per-alias</w:t>
            </w:r>
            <w:r>
              <w:t xml:space="preserve"> </w:t>
            </w:r>
            <w:r>
              <w:rPr>
                <w:rStyle w:val="VerbatimChar"/>
              </w:rPr>
              <w:t xml:space="preserve">CLAUDE_CODE_OAUTH_TOKEN</w:t>
            </w:r>
            <w:r>
              <w:t xml:space="preserve">/</w:t>
            </w:r>
            <w:r>
              <w:rPr>
                <w:rStyle w:val="VerbatimChar"/>
              </w:rPr>
              <w:t xml:space="preserve">CLAUDE_CONFIG_DIR</w:t>
            </w:r>
            <w:r>
              <w:t xml:space="preserve">) with rate-limit→rebind-to-healthy-alias→provider-fallback→bounded-park (§11.4.101); crash-resilient ruler self-supervisor (durable write-temp-then-rename state + watchdog rehydrate, never tmpfs); idempotent bootstrap auto-installed via the §11.4.164</w:t>
            </w:r>
            <w:r>
              <w:t xml:space="preserve"> </w:t>
            </w:r>
            <w:r>
              <w:rPr>
                <w:rStyle w:val="VerbatimChar"/>
              </w:rPr>
              <w:t xml:space="preserve">post_update_hook.sh</w:t>
            </w:r>
            <w:r>
              <w:t xml:space="preserve"> </w:t>
            </w:r>
            <w:r>
              <w:t xml:space="preserve">seam; conductor-stays-home (never bound into a track worktree); the entire mechanism lives at</w:t>
            </w:r>
            <w:r>
              <w:t xml:space="preserve"> </w:t>
            </w:r>
            <w:r>
              <w:rPr>
                <w:rStyle w:val="VerbatimChar"/>
              </w:rPr>
              <w:t xml:space="preserve">constitution/scripts/multitrack/</w:t>
            </w:r>
            <w:r>
              <w:t xml:space="preserve"> </w:t>
            </w:r>
            <w:r>
              <w:t xml:space="preserve">inherited BY REFERENCE (§11.4.28(B)/§11.4.177), carrying NO project literal — every consumer supplies its own</w:t>
            </w:r>
            <w:r>
              <w:t xml:space="preserve"> </w:t>
            </w:r>
            <w:r>
              <w:rPr>
                <w:rStyle w:val="VerbatimChar"/>
              </w:rPr>
              <w:t xml:space="preserve">config/multitrack/&lt;hostname&gt;.yaml</w:t>
            </w:r>
            <w:r>
              <w:t xml:space="preserve"> </w:t>
            </w:r>
            <w:r>
              <w:t xml:space="preserve">as DATA. Honest boundary §11.4.6: this anchor mandates the MECHANISM; real per-subscription quota-isolation proof needs live tokens (an operator-scheduled acceptance window), never conflated with a mock-driven spawn/resume/fallback-contract GREEN. Classification: universal (§11.4.17). Composes §11.4.20/.28/.58/.70/.101/.103/.111/.116/.119/.126/.128/.131/.147/.164/.167/.176/§12.6/§12.8. Propagation gate</w:t>
            </w:r>
            <w:r>
              <w:t xml:space="preserve"> </w:t>
            </w:r>
            <w:r>
              <w:rPr>
                <w:rStyle w:val="VerbatimChar"/>
              </w:rPr>
              <w:t xml:space="preserve">CM-COVENANT-114-187-PROPAGATION</w:t>
            </w:r>
            <w:r>
              <w:t xml:space="preserve"> </w:t>
            </w:r>
            <w:r>
              <w:t xml:space="preserve">+ recommended gates</w:t>
            </w:r>
            <w:r>
              <w:t xml:space="preserve"> </w:t>
            </w:r>
            <w:r>
              <w:rPr>
                <w:rStyle w:val="VerbatimChar"/>
              </w:rPr>
              <w:t xml:space="preserve">CM-MULTITRACK-ENGINE-IN-CONSTITUTION</w:t>
            </w:r>
            <w:r>
              <w:t xml:space="preserve">/</w:t>
            </w:r>
            <w:r>
              <w:rPr>
                <w:rStyle w:val="VerbatimChar"/>
              </w:rPr>
              <w:t xml:space="preserve">CM-MULTITRACK-AUTOINSTALL-WIRED</w:t>
            </w:r>
            <w:r>
              <w:t xml:space="preserve">/</w:t>
            </w:r>
            <w:r>
              <w:rPr>
                <w:rStyle w:val="VerbatimChar"/>
              </w:rPr>
              <w:t xml:space="preserve">CM-MULTITRACK-BOOTSTRAP-IDEMPOTENT</w:t>
            </w:r>
            <w:r>
              <w:t xml:space="preserve">/</w:t>
            </w:r>
            <w:r>
              <w:rPr>
                <w:rStyle w:val="VerbatimChar"/>
              </w:rPr>
              <w:t xml:space="preserve">CM-MULTITRACK-BIND-ON-START</w:t>
            </w:r>
            <w:r>
              <w:t xml:space="preserve">/</w:t>
            </w:r>
            <w:r>
              <w:rPr>
                <w:rStyle w:val="VerbatimChar"/>
              </w:rPr>
              <w:t xml:space="preserve">CM-MULTITRACK-FALLBACK-MONITOR</w:t>
            </w:r>
            <w:r>
              <w:t xml:space="preserve">/</w:t>
            </w:r>
            <w:r>
              <w:rPr>
                <w:rStyle w:val="VerbatimChar"/>
              </w:rPr>
              <w:t xml:space="preserve">CM-MULTITRACK-HEADLESS-SPAWN</w:t>
            </w:r>
            <w:r>
              <w:t xml:space="preserve">/</w:t>
            </w:r>
            <w:r>
              <w:rPr>
                <w:rStyle w:val="VerbatimChar"/>
              </w:rPr>
              <w:t xml:space="preserve">CM-MULTITRACK-RULER-SUPERVISOR</w:t>
            </w:r>
            <w:r>
              <w:t xml:space="preserve"> </w:t>
            </w:r>
            <w:r>
              <w:t xml:space="preserve">+ paired §1.1 mutation. Also landed the previously-missing</w:t>
            </w:r>
            <w:r>
              <w:t xml:space="preserve"> </w:t>
            </w:r>
            <w:r>
              <w:rPr>
                <w:rStyle w:val="VerbatimChar"/>
              </w:rPr>
              <w:t xml:space="preserve">CM-COVENANT-114-167-PROPAGATION</w:t>
            </w:r>
            <w:r>
              <w:t xml:space="preserve"> </w:t>
            </w:r>
            <w:r>
              <w:t xml:space="preserve">+</w:t>
            </w:r>
            <w:r>
              <w:t xml:space="preserve"> </w:t>
            </w:r>
            <w:r>
              <w:rPr>
                <w:rStyle w:val="VerbatimChar"/>
              </w:rPr>
              <w:t xml:space="preserve">CM-COVENANT-114-176-PROPAGATION</w:t>
            </w:r>
            <w:r>
              <w:t xml:space="preserve"> </w:t>
            </w:r>
            <w:r>
              <w:t xml:space="preserve">standalone gate scripts (closing the §11.4.167/§11.4.176 gate-code gap flagged since their original landing) +</w:t>
            </w:r>
            <w:r>
              <w:t xml:space="preserve"> </w:t>
            </w:r>
            <w:r>
              <w:rPr>
                <w:rStyle w:val="VerbatimChar"/>
              </w:rPr>
              <w:t xml:space="preserve">CM-MULTITRACK-ENGINE-IN-CONSTITUTION</w:t>
            </w:r>
            <w:r>
              <w:t xml:space="preserve"> </w:t>
            </w:r>
            <w:r>
              <w:t xml:space="preserve">mechanism gate, each with a paired §1.1 mutation test under</w:t>
            </w:r>
            <w:r>
              <w:t xml:space="preserve"> </w:t>
            </w:r>
            <w:r>
              <w:rPr>
                <w:rStyle w:val="VerbatimChar"/>
              </w:rPr>
              <w:t xml:space="preserve">constitution/scripts/gates/</w:t>
            </w:r>
            <w:r>
              <w:t xml:space="preserve">. CLAUDE.md + AGENTS.md + QWEN.md + GEMINI.md mirrors updated in lockstep (§11.4.157). Prior round: Added §11.4.184 — Mandatory SonarQube static-analysis CLI + local tooling installed and PATH-discoverable (User mandate 2026-07-06): the SonarQube scanner CLI (</w:t>
            </w:r>
            <w:r>
              <w:rPr>
                <w:rStyle w:val="VerbatimChar"/>
              </w:rPr>
              <w:t xml:space="preserve">sonar-scanner</w:t>
            </w:r>
            <w:r>
              <w:t xml:space="preserve">) MUST be installed AND durably PATH-discoverable via</w:t>
            </w:r>
            <w:r>
              <w:t xml:space="preserve"> </w:t>
            </w:r>
            <w:r>
              <w:rPr>
                <w:rStyle w:val="VerbatimChar"/>
              </w:rPr>
              <w:t xml:space="preserve">.bashrc</w:t>
            </w:r>
            <w:r>
              <w:t xml:space="preserve">/</w:t>
            </w:r>
            <w:r>
              <w:rPr>
                <w:rStyle w:val="VerbatimChar"/>
              </w:rPr>
              <w:t xml:space="preserve">.zshrc</w:t>
            </w:r>
            <w:r>
              <w:t xml:space="preserve"> </w:t>
            </w:r>
            <w:r>
              <w:t xml:space="preserve">(exactly like the Firebase/GitHub/GitLab CLIs), PLUS the shared</w:t>
            </w:r>
            <w:r>
              <w:t xml:space="preserve"> </w:t>
            </w:r>
            <w:r>
              <w:rPr>
                <w:rStyle w:val="VerbatimChar"/>
              </w:rPr>
              <w:t xml:space="preserve">constitution/scripts/sonarqube/</w:t>
            </w:r>
            <w:r>
              <w:t xml:space="preserve"> </w:t>
            </w:r>
            <w:r>
              <w:t xml:space="preserve">tooling consumed BY REFERENCE (§11.4.28/§11.4.177/§11.4.80-style, NEVER copied); proven GREEN by</w:t>
            </w:r>
            <w:r>
              <w:t xml:space="preserve"> </w:t>
            </w:r>
            <w:r>
              <w:rPr>
                <w:rStyle w:val="VerbatimChar"/>
              </w:rPr>
              <w:t xml:space="preserve">sonarqube_install_check.sh</w:t>
            </w:r>
            <w:r>
              <w:t xml:space="preserve"> </w:t>
            </w:r>
            <w:r>
              <w:t xml:space="preserve">exit 0 +</w:t>
            </w:r>
            <w:r>
              <w:t xml:space="preserve"> </w:t>
            </w:r>
            <w:r>
              <w:rPr>
                <w:rStyle w:val="VerbatimChar"/>
              </w:rPr>
              <w:t xml:space="preserve">command -v sonar-scanner</w:t>
            </w:r>
            <w:r>
              <w:t xml:space="preserve"> </w:t>
            </w:r>
            <w:r>
              <w:t xml:space="preserve">(anti-bluff §11.4.6, never assumed); rootless podman §11.4.161, never rootful docker/sudo; DISTINCT from the repealed §11.4.166 Semgrep mandate — mandates TOOLING availability, not a scan on every build. Classification: universal (§11.4.17). Propagation gate</w:t>
            </w:r>
            <w:r>
              <w:t xml:space="preserve"> </w:t>
            </w:r>
            <w:r>
              <w:rPr>
                <w:rStyle w:val="VerbatimChar"/>
              </w:rPr>
              <w:t xml:space="preserve">CM-COVENANT-114-184-PROPAGATION</w:t>
            </w:r>
            <w:r>
              <w:t xml:space="preserve"> </w:t>
            </w:r>
            <w:r>
              <w:t xml:space="preserve">+ recommended gate</w:t>
            </w:r>
            <w:r>
              <w:t xml:space="preserve"> </w:t>
            </w:r>
            <w:r>
              <w:rPr>
                <w:rStyle w:val="VerbatimChar"/>
              </w:rPr>
              <w:t xml:space="preserve">CM-SONARQUBE-CLI-INSTALLED</w:t>
            </w:r>
            <w:r>
              <w:t xml:space="preserve"> </w:t>
            </w:r>
            <w:r>
              <w:t xml:space="preserve">+ paired §1.1 mutation. Landed in numerical order between §11.4.183 and the already-present §11.4.185 (union resolution — nothing dropped). CLAUDE.md + AGENTS.md + QWEN.md + GEMINI.md mirrors updated in lockstep (§11.4.157). Prior round: 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every recorded artifact MUST pass MEDIA VALIDATION pipeline (OCR/transcription/text parsing vs patterns, self-validated analyzer, structured verdict, pinpoint on FAIL, real-time trigger, §1.1 mutation). Added §11.4.164 mirror — Universal Auto-Propagation Hook: post_update_hook.sh detects/registers/installs skills/MCP/hooks/scripts; consumer invokes after every pull. Added §11.4.165 mirror — Universal Independent Verification Agent: every output passes INDEPENDENT verifier (§11.4.70/.20), zero-finding GO. All Classification: universal (§11.4.17). Prior round: Added §11.4.160–162 mirror entries — Vision-verified recording + HelixQA bridge (User mandate 2026-06-21): every video recording MUST be processed through a vision/OCR pipeline reading on-screen content against SPECIFY-phase expected patterns; ≤5s frame capture, self-validated analyzer, per-frame PASS/FAIL with evidence path. Rootless container runtime (User mandate 2026-06-21): Podman rootless mandatory; rootful Docker/sudo FORBIDDEN unless §11.4.112; vasic-digital/containers sole orchestration layer. OpenDesign UI design system (User mandate 2026-06-21): mandatory UI design-and-refinement system for all user-facing interfaces; design tokens for color/typography/spacing; light+dark themes; extend upstream per §11.4.74. All three Classification: universal (§11.4.17). GEMINI.md mirrors updated in lockstep per §11.4.157. Prior round: New Gemini CLI carrier of the Helix Constitution — added by §11.4.140 (universal action-prefix system) so Gemini CLI gets the LAYER-1 action-prefix recognition floor out of the box, plus the §11.4.141 token-efficiency mandate mirror. This file is one of the four canonical agent context carriers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the constitution maintains per §11.4.35; the textual identity of the action-prefix recognition block across all four IS the LAYER-1 universality. This GEMINI.md is a thin carrier — the full universal rule set is in</w:t>
            </w:r>
            <w:r>
              <w:t xml:space="preserve"> </w:t>
            </w:r>
            <w:r>
              <w:rPr>
                <w:rStyle w:val="VerbatimChar"/>
              </w:rPr>
              <w:t xml:space="preserve">Constitution.md</w:t>
            </w:r>
            <w:r>
              <w:t xml:space="preserve"> </w:t>
            </w:r>
            <w:r>
              <w:t xml:space="preserve">(canonical) and the sibling carriers; Gemini CLI reads this file as its context carrier. Back-filled §11.4.142–157 to lockstep (§11.4.157).</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a248266842dbec6af31dbcf1ca91a15c9292d5b"/>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1"/>
    <w:bookmarkStart w:id="14" w:name="token-efficiency-mandate-114141"/>
    <w:p>
      <w:pPr>
        <w:pStyle w:val="Heading2"/>
      </w:pPr>
      <w:r>
        <w:t xml:space="preserve">Token-efficiency mandate (§11.4.141)</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(§11.4.78/§11.4.79/§11.4.80);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13">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MEDIA VALIDATION pipeline — OCR/transcription/text parsing, compare vs SPECIFY-phase patterns (§11.4.159(J)), self-validated analyzer (§11.4.107(10)), structured verdict, pinpoint on FAIL, REAL-TIME trigger option. Paired §1.1 mutation on golden-bad fixture.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invokes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passes independent verifier (§11.4.70/.20), zero-finding GO (§11.4.134). CODE: review+build+mutations+runtime-signature. MEDIA: pipeline+genuine+format. DOCS: exports+revision. CONFIG: syntax+schema+leaks. Self-validated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14"/>
    <w:bookmarkStart w:id="15" w:name="when-in-doubt"/>
    <w:p>
      <w:pPr>
        <w:pStyle w:val="Heading2"/>
      </w:pPr>
      <w:r>
        <w:t xml:space="preserve">When in doubt</w:t>
      </w:r>
    </w:p>
    <w:p>
      <w:pPr>
        <w:pStyle w:val="Compact"/>
        <w:numPr>
          <w:ilvl w:val="0"/>
          <w:numId w:val="100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1"/>
        </w:numPr>
      </w:pPr>
      <w:r>
        <w:t xml:space="preserve">If still unclear, ask the operator. Do NOT guess. Do NOT bluff (§11.4.6).</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GEMINI</dc:title>
  <dc:creator/>
  <dc:language>en</dc:language>
  <cp:keywords/>
  <dcterms:created xsi:type="dcterms:W3CDTF">2026-07-09T15:41:50Z</dcterms:created>
  <dcterms:modified xsi:type="dcterms:W3CDTF">2026-07-09T15:41:50Z</dcterms:modified>
</cp:coreProperties>
</file>

<file path=docProps/custom.xml><?xml version="1.0" encoding="utf-8"?>
<Properties xmlns="http://schemas.openxmlformats.org/officeDocument/2006/custom-properties" xmlns:vt="http://schemas.openxmlformats.org/officeDocument/2006/docPropsVTypes"/>
</file>