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43</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2026-07-14T00:00:00Z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§11.4.195 — Branch-structure governance: taxonomy + merge-after-live-QA + flavor/product non-merge (User mandate 2026-07-14): every controlled branch belongs to one of THREE canonical taxonomy classes each with a distinct integration lifecycle — (A)</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ONLY after full validation + verification + §11.4.185 live-manual-QA, and COMPLETELY (main repo + every touched owned submodule) ff-only, NEVER force-push (§11.4.113), no commit lost (§9.2); (B)</w:t>
            </w:r>
            <w:r>
              <w:t xml:space="preserve"> </w:t>
            </w:r>
            <w:r>
              <w:rPr>
                <w:rStyle w:val="VerbatimChar"/>
              </w:rPr>
              <w:t xml:space="preserve">product/&lt;slug&gt;</w:t>
            </w:r>
            <w:r>
              <w:t xml:space="preserve"> </w:t>
            </w:r>
            <w:r>
              <w:t xml:space="preserve">+</w:t>
            </w:r>
            <w:r>
              <w:t xml:space="preserve"> </w:t>
            </w:r>
            <w:r>
              <w:rPr>
                <w:rStyle w:val="VerbatimChar"/>
              </w:rPr>
              <w:t xml:space="preserve">flavor/&lt;slug&gt;</w:t>
            </w:r>
            <w:r>
              <w:t xml:space="preserve"> </w:t>
            </w:r>
            <w:r>
              <w:t xml:space="preserve">= PRODUCT/FLAVOR lines that do NOT merge to</w:t>
            </w:r>
            <w:r>
              <w:t xml:space="preserve"> </w:t>
            </w:r>
            <w:r>
              <w:rPr>
                <w:rStyle w:val="VerbatimChar"/>
              </w:rPr>
              <w:t xml:space="preserve">main</w:t>
            </w:r>
            <w:r>
              <w:t xml:space="preserve"> </w:t>
            </w:r>
            <w:r>
              <w:t xml:space="preserve">the standard way (a divergent line with its own release lifecycle, MAY still merge</w:t>
            </w:r>
            <w:r>
              <w:t xml:space="preserve"> </w:t>
            </w:r>
            <w:r>
              <w:rPr>
                <w:rStyle w:val="VerbatimChar"/>
              </w:rPr>
              <w:t xml:space="preserve">main</w:t>
            </w:r>
            <w:r>
              <w:t xml:space="preserve"> </w:t>
            </w:r>
            <w:r>
              <w:t xml:space="preserve">INTO itself per §11.4.188 — only line-into-trunk is gated); (C) commit + push ALL branches to ALL upstreams ff-only (§2.1); the canonical branch NAME is minted ONCE + used identically across main + every touched submodule (§11.4.181), the operator-canonical prefix strings reconciled with any pre-existing</w:t>
            </w:r>
            <w:r>
              <w:t xml:space="preserve"> </w:t>
            </w:r>
            <w:r>
              <w:rPr>
                <w:rStyle w:val="VerbatimChar"/>
              </w:rPr>
              <w:t xml:space="preserve">feature/…</w:t>
            </w:r>
            <w:r>
              <w:t xml:space="preserve"> </w:t>
            </w:r>
            <w:r>
              <w:t xml:space="preserve">convention via the §11.4.181 risk-free merge-onto-canonical path (never a rename that drops commits, §11.4.6); binds §11.4.185 live-manual-QA as an explicit precondition of the §11.4.167(I)/§11.4.188 approval-gated back-merge; strict generalisation of §11.4.181/§11.4.167(D)(I)/§11.4.188/§11.4.185. Classification: universal (§11.4.17).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 paired §1.1 mutation. Also this round: landed the §11.4.140 SUB-SYSTEM SHORTCUT extension (a grammar-shaped non-action token names an incorporated sub-system/submodule → sub-system context injection; two sources — registry</w:t>
            </w:r>
            <w:r>
              <w:t xml:space="preserve"> </w:t>
            </w:r>
            <w:r>
              <w:rPr>
                <w:rStyle w:val="VerbatimChar"/>
              </w:rPr>
              <w:t xml:space="preserve">subsystems:</w:t>
            </w:r>
            <w:r>
              <w:t xml:space="preserve"> </w:t>
            </w:r>
            <w:r>
              <w:t xml:space="preserve">Helix-ecosystem catalogue + recursive</w:t>
            </w:r>
            <w:r>
              <w:t xml:space="preserve"> </w:t>
            </w:r>
            <w:r>
              <w:rPr>
                <w:rStyle w:val="VerbatimChar"/>
              </w:rPr>
              <w:t xml:space="preserve">.gitmodules</w:t>
            </w:r>
            <w:r>
              <w:t xml:space="preserve"> </w:t>
            </w:r>
            <w:r>
              <w:t xml:space="preserve">discovery in</w:t>
            </w:r>
            <w:r>
              <w:t xml:space="preserve"> </w:t>
            </w:r>
            <w:r>
              <w:rPr>
                <w:rStyle w:val="VerbatimChar"/>
              </w:rPr>
              <w:t xml:space="preserve">scripts/action_prefix_lib.sh</w:t>
            </w:r>
            <w:r>
              <w:t xml:space="preserve">; gate</w:t>
            </w:r>
            <w:r>
              <w:t xml:space="preserve"> </w:t>
            </w:r>
            <w:r>
              <w:rPr>
                <w:rStyle w:val="VerbatimChar"/>
              </w:rPr>
              <w:t xml:space="preserve">CM-SUBSYSTEM-SHORTCUTS</w:t>
            </w:r>
            <w:r>
              <w:t xml:space="preserve"> </w:t>
            </w:r>
            <w:r>
              <w:t xml:space="preserve">+ paired §1.1 mutation,</w:t>
            </w:r>
            <w:r>
              <w:t xml:space="preserve"> </w:t>
            </w:r>
            <w:r>
              <w:rPr>
                <w:rStyle w:val="VerbatimChar"/>
              </w:rPr>
              <w:t xml:space="preserve">recognition_instruction.md</w:t>
            </w:r>
            <w:r>
              <w:t xml:space="preserve"> </w:t>
            </w:r>
            <w:r>
              <w:t xml:space="preserve">rev 3) + the reactive-recursive-submodule-auto-sync DESIGN doc (</w:t>
            </w:r>
            <w:r>
              <w:rPr>
                <w:rStyle w:val="VerbatimChar"/>
              </w:rPr>
              <w:t xml:space="preserve">docs/research/reactive_submodule_sync/DESIGN.md</w:t>
            </w:r>
            <w:r>
              <w:t xml:space="preserve"> </w:t>
            </w:r>
            <w:r>
              <w:t xml:space="preserve">— design/risk-research/phased-plan ONLY, nothing implemented). CLAUDE.md + AGENTS.md + QWEN.md + GEMINI.md mirrors updated in lockstep (§11.4.157). Prior round: Added §11.4.194 — Exhaustive all-scenario, all-angle code-review + verify-against-captured-runtime-evidence mandate (User mandate 2026-07-14, verbatim "CRITICAL: Code review MUST TAKE into the accounts all scenarios, look at the problem or change from all angles, deepest possible analisys! No gaps, shortcomings or false results or bluff is allowed! ... so the review process is more precise and we do not have situations like the last one!"): STRENGTHENS §11.4.125/.134/.142 — every code-review MUST before GO (1) ENUMERATE the FULL input/scenario space of the change AND the defect + INDEPENDENTLY VERIFY EACH factor of a MULTI-FACTOR failure mode (a product of N terms, ANY degenerate term triggers it — forensic FACT "the last one": a boot-crash fix got a clean zero-finding GO that dismissed a clamp branch as an informational NIT "effectively unreachable ... always valid" WITHOUT PROVING it against the runtime input space, the target STILL crash-looped because a</w:t>
            </w:r>
            <w:r>
              <w:t xml:space="preserve"> </w:t>
            </w:r>
            <w:r>
              <w:rPr>
                <w:rStyle w:val="VerbatimChar"/>
              </w:rPr>
              <w:t xml:space="preserve">size = A × B</w:t>
            </w:r>
            <w:r>
              <w:t xml:space="preserve"> </w:t>
            </w:r>
            <w:r>
              <w:t xml:space="preserve">product had TWO independent zero-triggers and only ONE factor was verified, the OTHER assumed away, the pre-fix crash evidence never cross-checked); (2) PROVE every assumption ("can't happen"/"unreachable"/"always valid" proven from code+spec+captured evidence, never on faith §11.4.6; an unproven-then-false assumption is a §11.4 review-layer bluff of PASS-bluff severity; a NIT dismissing a path as unreachable MUST carry the proof); (3) VERIFY the fix against ANY captured runtime evidence (crash log/tombstone/sink-probe/§11.4.108 runtime-signature) — confirm it prevents the CAPTURED failure; (4) ALL ANGLES incl. every downstream must-not-break feature (§11.4.133) + the tests' OWN per-dimension coverage + the §1.1 mutation per dimension; (5) honest boundary §11.4.6 — exhaustive = enumerated + evidence-grounded, un-analysable dimensions stated as explicit gaps never silently assumed safe. Classification: universal (§11.4.17).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 CLAUDE.md + AGENTS.md + QWEN.md + GEMINI.md mirrors updated in lockstep (§11.4.157). Prior round: Strengthened §11.4.102 — added sub-clause</w:t>
            </w:r>
            <w:r>
              <w:t xml:space="preserve"> </w:t>
            </w:r>
            <w:r>
              <w:rPr>
                <w:b/>
                <w:bCs/>
              </w:rPr>
              <w:t xml:space="preserve">(D) AUTOMATIC activation — no operator prompt required</w:t>
            </w:r>
            <w:r>
              <w:t xml:space="preserve"> </w:t>
            </w:r>
            <w:r>
              <w:t xml:space="preserve">(User mandate 2026-07-13, verbatim "Make sure we automatically turn on the systematic-debugging plugin and skills every time we work on any issue! Add this as MANDATORY RULE to our root constitution Submodule and all of its relevant files!"): the clause-(A) systematic-debugging activation is AUTOMATIC + STANDING DEFAULT — the agent MUST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waiting for an operator prompt/request/per-issue confirmation, the MOMENT an issue is detected (composes §11.4.126 default-autonomous-loop's from-first-prompt standing-default); plugin +</w:t>
            </w:r>
            <w:r>
              <w:t xml:space="preserve"> </w:t>
            </w:r>
            <w:r>
              <w:rPr>
                <w:rStyle w:val="VerbatimChar"/>
              </w:rPr>
              <w:t xml:space="preserve">superpowers:systematic-debugging</w:t>
            </w:r>
            <w:r>
              <w:t xml:space="preserve"> </w:t>
            </w:r>
            <w:r>
              <w:t xml:space="preserve">+</w:t>
            </w:r>
            <w:r>
              <w:t xml:space="preserve"> </w:t>
            </w:r>
            <w:r>
              <w:rPr>
                <w:rStyle w:val="VerbatimChar"/>
              </w:rPr>
              <w:t xml:space="preserve">superpowers:using-superpowers</w:t>
            </w:r>
            <w:r>
              <w:t xml:space="preserve"> </w:t>
            </w:r>
            <w:r>
              <w:t xml:space="preserve">skills confirmed installed+loadable per clause (C) before any dependent investigation (live-capability-list, never assumed §11.4.6); "did not activate because the operator did not ask" is itself a §11.4.102(D) violation. STRENGTHENS clause (A) — makes the activation trigger prompt-independent + standing-default — never weakens it: (A)/(B)/(C) + four-phase-arc + Iron-Law ("NO FIXES WITHOUT ROOT CAUSE INVESTIGATION FIRST") preserved in full.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unchanged — stays GREEN). CLAUDE.md + AGENTS.md + QWEN.md + GEMINI.md mirrors updated in lockstep (§11.4.157). Prior round: 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2026-07-14T17:52:47Z</dcterms:created>
  <dcterms:modified xsi:type="dcterms:W3CDTF">2026-07-14T17:52:47Z</dcterms:modified>
</cp:coreProperties>
</file>

<file path=docProps/custom.xml><?xml version="1.0" encoding="utf-8"?>
<Properties xmlns="http://schemas.openxmlformats.org/officeDocument/2006/custom-properties" xmlns:vt="http://schemas.openxmlformats.org/officeDocument/2006/docPropsVTypes"/>
</file>