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2026-07-03T00:00:00Z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pull. Added §11.4.165 mirror — Universal Independent Verification Agent: every output passes INDEPENDENT verifier (§11.4.70/.20), zero-finding GO. All Classification: universal (§11.4.17). Prior round: Added §11.4.160–162 mirror entries — Vision-verified recording + HelixQA bridge (User mandate 2026-06-21): every video recording MUST be processed through a vision/OCR pipeline reading on-screen content against SPECIFY-phase expected patterns; ≤5s frame capture, self-validated analyzer, per-frame PASS/FAIL with evidence path. Rootless container runtime (User mandate 2026-06-21): Podman rootless mandatory; rootful Docker/sudo FORBIDDEN unless §11.4.112; vasic-digital/containers sole orchestration layer. OpenDesign UI design system (User mandate 2026-06-21): mandatory UI design-and-refinement system for all user-facing interfaces; design tokens for color/typography/spacing; light+dark themes; extend upstream per §11.4.74. All three Classification: universal (§11.4.17). GEMINI.md mirrors updated in lockstep per §11.4.157. Prior round: New Gemini CLI carrier of the Helix Constitution — added by §11.4.140 (universal action-prefix system) so Gemini CLI gets the LAYER-1 action-prefix recognition floor out of the box, plus the §11.4.141 token-efficiency mandate mirror. This file is one of the four canonical agent context carriers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the constitution maintains per §11.4.35; the textual identity of the action-prefix recognition block across all four IS the LAYER-1 universality. This GEMINI.md is a thin carrier — the full universal rule set is in</w:t>
            </w:r>
            <w:r>
              <w:t xml:space="preserve"> </w:t>
            </w:r>
            <w:r>
              <w:rPr>
                <w:rStyle w:val="VerbatimChar"/>
              </w:rPr>
              <w:t xml:space="preserve">Constitution.md</w:t>
            </w:r>
            <w:r>
              <w:t xml:space="preserve"> </w:t>
            </w:r>
            <w:r>
              <w:t xml:space="preserve">(canonical) and the sibling carriers; Gemini CLI reads this file as its context carrier. Back-filled §11.4.142–157 to lockstep (§11.4.157).</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2026-07-03T07:16:10Z</dcterms:created>
  <dcterms:modified xsi:type="dcterms:W3CDTF">2026-07-03T07:16:10Z</dcterms:modified>
</cp:coreProperties>
</file>

<file path=docProps/custom.xml><?xml version="1.0" encoding="utf-8"?>
<Properties xmlns="http://schemas.openxmlformats.org/officeDocument/2006/custom-properties" xmlns:vt="http://schemas.openxmlformats.org/officeDocument/2006/docPropsVTypes"/>
</file>