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41"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§11.4.177–§11.4.180 — multi-track git-hardening family (User mandate 2026-07-04, forensic FACT: 4 git worktrees shared ONE common</w:t>
            </w:r>
            <w:r>
              <w:t xml:space="preserve"> </w:t>
            </w:r>
            <w:r>
              <w:rPr>
                <w:rStyle w:val="VerbatimChar"/>
              </w:rPr>
              <w:t xml:space="preserve">.git</w:t>
            </w:r>
            <w:r>
              <w:t xml:space="preserve">; a stale</w:t>
            </w:r>
            <w:r>
              <w:t xml:space="preserve"> </w:t>
            </w:r>
            <w:r>
              <w:rPr>
                <w:rStyle w:val="VerbatimChar"/>
              </w:rPr>
              <w:t xml:space="preserve">.git/index.lock</w:t>
            </w:r>
            <w:r>
              <w:t xml:space="preserve"> </w:t>
            </w:r>
            <w:r>
              <w:t xml:space="preserve">+</w:t>
            </w:r>
            <w:r>
              <w:t xml:space="preserve"> </w:t>
            </w:r>
            <w:r>
              <w:rPr>
                <w:rStyle w:val="VerbatimChar"/>
              </w:rPr>
              <w:t xml:space="preserve">.git/.push_all.lock</w:t>
            </w:r>
            <w:r>
              <w:t xml:space="preserve"> </w:t>
            </w:r>
            <w:r>
              <w:t xml:space="preserve">holding a DEAD PID froze commits/pushes across ALL tracks ~9 h; all worktrees had basename</w:t>
            </w:r>
            <w:r>
              <w:t xml:space="preserve"> </w:t>
            </w:r>
            <w:r>
              <w:rPr>
                <w:rStyle w:val="VerbatimChar"/>
              </w:rPr>
              <w:t xml:space="preserve">atmosphere</w:t>
            </w:r>
            <w:r>
              <w:t xml:space="preserve"> </w:t>
            </w:r>
            <w:r>
              <w:t xml:space="preserve">→ session-name collision; a project-specific script was symlinked into the global toolkit PATH). §11.4.177 Developer-tooling project-decoupling + invocation-directory operation (no project script wired into a global/shared PATH; shared tools operate on the invocation dir, never a hardcoded project path; generalises §11.4.28 decoupling to all shared tooling). §11.4.178 Track-qualified identity for parallel work streams (session/lock/log/device claims addressed by</w:t>
            </w:r>
            <w:r>
              <w:t xml:space="preserve"> </w:t>
            </w:r>
            <w:r>
              <w:rPr>
                <w:rStyle w:val="VerbatimChar"/>
              </w:rPr>
              <w:t xml:space="preserve">&lt;project&gt;__&lt;track&gt;__&lt;role&gt;</w:t>
            </w:r>
            <w:r>
              <w:t xml:space="preserve">, never a bare basename; generalises §11.4.111/§11.4.119 to identity). §11.4.179 Corruption-isolated parallel git streams (each stream its OWN</w:t>
            </w:r>
            <w:r>
              <w:t xml:space="preserve"> </w:t>
            </w:r>
            <w:r>
              <w:rPr>
                <w:rStyle w:val="VerbatimChar"/>
              </w:rPr>
              <w:t xml:space="preserve">.git</w:t>
            </w:r>
            <w:r>
              <w:t xml:space="preserve">, never a shared-common-dir worktree;</w:t>
            </w:r>
            <w:r>
              <w:t xml:space="preserve"> </w:t>
            </w:r>
            <w:r>
              <w:rPr>
                <w:rStyle w:val="VerbatimChar"/>
              </w:rPr>
              <w:t xml:space="preserve">git rev-parse --git-common-dir</w:t>
            </w:r>
            <w:r>
              <w:t xml:space="preserve"> </w:t>
            </w:r>
            <w:r>
              <w:t xml:space="preserve">resolves inside its own tree; CoW/reflink-with-own-</w:t>
            </w:r>
            <w:r>
              <w:rPr>
                <w:rStyle w:val="VerbatimChar"/>
              </w:rPr>
              <w:t xml:space="preserve">.git</w:t>
            </w:r>
            <w:r>
              <w:t xml:space="preserve"> </w:t>
            </w:r>
            <w:r>
              <w:t xml:space="preserve">per §11.4.167 satisfies disk-feasibility + isolation). §11.4.180 Commit/push wrappers auto-reap provably-stale (dead-holder</w:t>
            </w:r>
            <w:r>
              <w:t xml:space="preserve"> </w:t>
            </w:r>
            <w:r>
              <w:rPr>
                <w:rStyle w:val="VerbatimChar"/>
              </w:rPr>
              <w:t xml:space="preserve">kill -0</w:t>
            </w:r>
            <w:r>
              <w:t xml:space="preserve">) locks before acquiring, NEVER a live-held lock (§9.2), logging each REAPED/KEPT decision. All Classification: universal (§11.4.17). Propagation gates</w:t>
            </w:r>
            <w:r>
              <w:t xml:space="preserve"> </w:t>
            </w:r>
            <w:r>
              <w:rPr>
                <w:rStyle w:val="VerbatimChar"/>
              </w:rPr>
              <w:t xml:space="preserve">CM-COVENANT-114-177/178/179/180-PROPAGATION</w:t>
            </w:r>
            <w:r>
              <w:t xml:space="preserve"> </w:t>
            </w:r>
            <w:r>
              <w:t xml:space="preserve">+ recommended gates</w:t>
            </w:r>
            <w:r>
              <w:t xml:space="preserve"> </w:t>
            </w:r>
            <w:r>
              <w:rPr>
                <w:rStyle w:val="VerbatimChar"/>
              </w:rPr>
              <w:t xml:space="preserve">CM-TOOLING-PROJECT-DECOUPLED</w:t>
            </w:r>
            <w:r>
              <w:t xml:space="preserve">/</w:t>
            </w:r>
            <w:r>
              <w:rPr>
                <w:rStyle w:val="VerbatimChar"/>
              </w:rPr>
              <w:t xml:space="preserve">CM-TRACK-QUALIFIED-IDENTITY</w:t>
            </w:r>
            <w:r>
              <w:t xml:space="preserve">/</w:t>
            </w:r>
            <w:r>
              <w:rPr>
                <w:rStyle w:val="VerbatimChar"/>
              </w:rPr>
              <w:t xml:space="preserve">CM-GIT-STREAMS-OWN-COMMON-DIR</w:t>
            </w:r>
            <w:r>
              <w:t xml:space="preserve">/</w:t>
            </w:r>
            <w:r>
              <w:rPr>
                <w:rStyle w:val="VerbatimChar"/>
              </w:rPr>
              <w:t xml:space="preserve">CM-WRAPPER-STALE-LOCK-AUTO-REAP</w:t>
            </w:r>
            <w:r>
              <w:t xml:space="preserve"> </w:t>
            </w:r>
            <w:r>
              <w:t xml:space="preserve">(gate-code = separate work item). CLAUDE.md + AGENTS.md + QWEN.md + GEMINI.md mirrors updated in lockstep (§11.4.157). Prior round: Added §12.11 — Maximal dynamic resource utilization for containerized builds (User mandate 2026-07-03): the containerized build path (its OWN cgroup + own MemoryMax → OOM-kills ITSELF, never user.slice) MUST use the maximal SAFE fraction of host capacity computed DYNAMICALLY per host —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Gate CM-MAXRES-DYNAMIC-BUILD + CM-COVENANT-12-11-PROPAGATION. Also added §11.4.176 — Conflict-free multi-track work-division + exactly-once claim registry + capability-aware deadlock-proof device-lock (User mandate 2026-07-02): two mandatory multi-track arbitration layers conflict-free by construction —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 evidence-based resource-tuning. Gates CM-WORK-DIVISION-EXCLUSIVE-CLAIM + CM-DEVICE-LOCK-DEADLOCK-FREE + CM-COVENANT-114-176-PROPAGATION. Both Classification: universal (§11.4.17). Prior round: Added §11.4.170 — Device-independent host-side rendered-UI visual-proof mandate (User mandate 2026-06-25): every change to ANY user-facing UI surface MUST be proven by device-independent host-side RENDERED PIXELS (Compose→Roborazzi/Paparazzi, web→Playwright, SwiftUI→snapshot-testing) per screen×state×{light,dark} theme, dual-validated by (i) golden image-diff AND (ii) an OCR/vision layout oracle (legibility + NO overlap/clip/off-screen/collapsed-or-giant-unbounded widget); VALUE/TOKEN-EQUALITY UI tests are FORBIDDEN as the proof a UI is correct (the giant-button bluff: green token-equality tests while the real screen was broken) — they may supplement, never substitute the rendered-pixel artefact; "device offline" is NEVER a valid skip (host-render is device-free); composes §11.4.162/.168/.153/.158/.159/.160; self-validated golden-good/golden-bad analyzer §11.4.107(10). Propagation gate</w:t>
            </w:r>
            <w:r>
              <w:t xml:space="preserve"> </w:t>
            </w:r>
            <w:r>
              <w:rPr>
                <w:rStyle w:val="VerbatimChar"/>
              </w:rPr>
              <w:t xml:space="preserve">CM-COVENANT-114-170-PROPAGATION</w:t>
            </w:r>
            <w:r>
              <w:t xml:space="preserve"> </w:t>
            </w:r>
            <w:r>
              <w:t xml:space="preserve">+ recommended gate</w:t>
            </w:r>
            <w:r>
              <w:t xml:space="preserve"> </w:t>
            </w:r>
            <w:r>
              <w:rPr>
                <w:rStyle w:val="VerbatimChar"/>
              </w:rPr>
              <w:t xml:space="preserve">CM-HOST-RENDERED-UI-VISUAL-PROOF</w:t>
            </w:r>
            <w:r>
              <w:t xml:space="preserve"> </w:t>
            </w:r>
            <w:r>
              <w:t xml:space="preserve">+ paired §1.1 mutation. Classification: universal (§11.4.17). Prior round: Added §11.4.169 — Mandatory comprehensive test-type coverage with anti-bluff captured evidence (User mandate 2026-06-25): every project MUST cover a CLOSED enumerated test-type set — unit, integration (real System, infra via containers submodule §11.4.76), e2e, full-automation (§11.4.25/.52/.98, deterministic §11.4.50), Challenges (challenges submodule §11.4.27(B)), HelixQA (helix_qa submodule — written test banks/suites per app/service/platform + comprehensive fully-autonomous QA sessions §11.4.27), DDoS/load-flood, security (§11.4.10 + security submodule), stress+chaos (§11.4.85), concurrency/atomicity, race-condition/deadlock, memory, benchmarking/performance — each to as-close-to-100% coverage as the domain permits, every PASS citing rock-solid captured PHYSICAL evidence (§11.4.5/.69/.107), zero false results/zero bluff (§11.4/.1/.6); the ONLY permitted absence is an honest §11.4.3 SKIP-with-reason, never a silent gap; strict enumerated expansion of §11.4.27; four-layer §11.4.4(b) enforcement + coverage ledger (§11.4.25/.52). Propagation gate</w:t>
            </w:r>
            <w:r>
              <w:t xml:space="preserve"> </w:t>
            </w:r>
            <w:r>
              <w:rPr>
                <w:rStyle w:val="VerbatimChar"/>
              </w:rPr>
              <w:t xml:space="preserve">CM-COVENANT-114-169-PROPAGATION</w:t>
            </w:r>
            <w:r>
              <w:t xml:space="preserve"> </w:t>
            </w:r>
            <w:r>
              <w:t xml:space="preserve">+ recommended gate</w:t>
            </w:r>
            <w:r>
              <w:t xml:space="preserve"> </w:t>
            </w:r>
            <w:r>
              <w:rPr>
                <w:rStyle w:val="VerbatimChar"/>
              </w:rPr>
              <w:t xml:space="preserve">CM-MANDATORY-TEST-TYPES-COVERED</w:t>
            </w:r>
            <w:r>
              <w:t xml:space="preserve"> </w:t>
            </w:r>
            <w:r>
              <w:t xml:space="preserve">+ paired §1.1 mutation (gate-code = separate work item). Classification: universal (§11.4.17). CLAUDE.md + AGENTS.md + GEMINI.md + QWEN.md mirrors updated in lockstep (§11.4.157).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 Universal Media Validation &amp; Verification Mandate: every recorded artifact passes MEDIA VALIDATION pipeline (OCR/transcription/text parsing vs SPECIFY-phase patterns, self-validated analyzer §11.4.107(10), structured verdict with pinpoint on FAIL, post-recording+real-time triggers, paired §1.1 mutation). Added §11.4.164 — Universal Constitution Auto-Propagation &amp; Hook System: post_update_hook.sh detects/registers/installs changed skills/MCP/hooks/scripts; consumer invokes after every constitutional pull. Added §11.4.165 — Universal Independent Verification Agent Mandate: every code/media/docs/config output passes INDEPENDENT verifier (§11.4.70/.20, structurally separate), iterates to zero-finding GO (§11.4.134); code=review+build+mutations+runtime-signature, media=pipeline+genuine+format, docs=exports+revision, config=syntax+schema+leaks; verifier self-validated by §1.1 mutation. All Classification: universal (§11.4.17). Propagation gates</w:t>
            </w:r>
            <w:r>
              <w:t xml:space="preserve"> </w:t>
            </w:r>
            <w:r>
              <w:rPr>
                <w:rStyle w:val="VerbatimChar"/>
              </w:rPr>
              <w:t xml:space="preserve">CM-COVENANT-114-163/164/165-PROPAGATION</w:t>
            </w:r>
            <w:r>
              <w:t xml:space="preserve"> </w:t>
            </w:r>
            <w:r>
              <w:t xml:space="preserve">+ recommended per-class gates + paired §1.1 mutations. Prior round: Added §11.4.162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CLAUDE.md + AGENTS.md + QWEN.md + GEMINI.md mirrors updated in lockstep. Prior round: Added §11.4.152 — Crashlytics-recorded-data continuous monitoring + systematic-debug + regression-test-coverage mandate (User mandate 2026-06-13): every project with Firebase Crashlytics enabled/wired MUST continuously monitor ALL four recorded surfaces — fatal crashes, ANRs, performance traces, AND non-fatals — systematic-debug each (reproduce-before-fix §11.4.102/.115), fix/improve, and cover every closure with a permanent §11.4.135 regression guard (RED-on-broken→GREEN-on-fixed) + a closure log citing the console issue id/URL + the validation/verification test paths; on a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(Crashlytics-Resolved Issue Coverage) + §6.AC (Comprehensive Non-Fatal Telemetry).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w:t>
            </w:r>
            <w:r>
              <w:t xml:space="preserve">(gate-code = separate work item). Classification: universal (§11.4.17). CLAUDE.md + AGENTS.md + QWEN.md mirrors updated in lockstep. Prior round: Added §11.4.151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is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the lowercased snake_case project-root dir name §11.4.29; the SAME prefix across main + all owned submodules in one release makes it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w:t>
            </w:r>
            <w:r>
              <w:t xml:space="preserve">(gate-code = separate work item). Classification: universal (§11.4.17). CLAUDE.md + AGENTS.md + QWEN.md mirrors updated in lockstep. Prior round: Added §11.4.148 + §11.4.149 — workable-item integrity + testing-diary family (User mandate 2026-06-10). §11.4.148 Workable-item integrity (status+type+id) + comprehensive structured description + bidirectional external-tracker sync + BLOCKED unblock-choices: BINDS + STRENGTHENS §11.4.15/.16/.21/.54/.91/.93/.95/.106 into ONE integrity contract spanning DB ↔ docs ↔ external tracker — (D1) no item without a valid status + valid type + stable id on ALL three surfaces; (D2) comprehensive structured description (what/manifest/repro/acceptance) in DB + docs + tracker, never a stub; (D3) BLOCKED items carry WHY + enumerated unblock CHOICES (tightens §11.4.21, mirrors §11.4.66 2–4-option shape;</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 fingerprint-gated + §11.4.106 docs_chain-bound; (D5) generic external-tracker push carries statuses (collapsed per §11.4.33/.112)/types/assignee (§11.4.104, default-from-env-var, never logged §11.4.10)/sub-tasks, idempotent dry-run-then-real match-by-stable-key, sink-side</w:t>
            </w:r>
            <w:r>
              <w:t xml:space="preserve"> </w:t>
            </w:r>
            <w:r>
              <w:rPr>
                <w:rStyle w:val="VerbatimChar"/>
              </w:rPr>
              <w:t xml:space="preserve">created/updated/failed</w:t>
            </w:r>
            <w:r>
              <w:t xml:space="preserve"> </w:t>
            </w:r>
            <w:r>
              <w:t xml:space="preserve">proof §11.4.69, machinery project-agnostic §11.4.28. Composes §11.4.15/.16/.21/.33/.34/.54/.66/.86/.91/.93/.95/.104/.106/.112/.123/.10/.28/.69/.6/§1.1. Propagation gate</w:t>
            </w:r>
            <w:r>
              <w:t xml:space="preserve"> </w:t>
            </w:r>
            <w:r>
              <w:rPr>
                <w:rStyle w:val="VerbatimChar"/>
              </w:rPr>
              <w:t xml:space="preserve">CM-COVENANT-114-148-PROPAGATION</w:t>
            </w:r>
            <w:r>
              <w:t xml:space="preserve"> </w:t>
            </w:r>
            <w:r>
              <w:t xml:space="preserve">+ recommended gates</w:t>
            </w:r>
            <w:r>
              <w:t xml:space="preserve"> </w:t>
            </w:r>
            <w:r>
              <w:rPr>
                <w:rStyle w:val="VerbatimChar"/>
              </w:rPr>
              <w:t xml:space="preserve">CM-ITEM-INTEGRITY-STATUS-TYPE-ID</w:t>
            </w:r>
            <w:r>
              <w:t xml:space="preserve">/</w:t>
            </w:r>
            <w:r>
              <w:rPr>
                <w:rStyle w:val="VerbatimChar"/>
              </w:rPr>
              <w:t xml:space="preserve">CM-ITEM-COMPREHENSIVE-DESCRIPTION</w:t>
            </w:r>
            <w:r>
              <w:t xml:space="preserve">/</w:t>
            </w:r>
            <w:r>
              <w:rPr>
                <w:rStyle w:val="VerbatimChar"/>
              </w:rPr>
              <w:t xml:space="preserve">CM-BLOCKED-UNBLOCK-CHOICES</w:t>
            </w:r>
            <w:r>
              <w:t xml:space="preserve">/</w:t>
            </w:r>
            <w:r>
              <w:rPr>
                <w:rStyle w:val="VerbatimChar"/>
              </w:rPr>
              <w:t xml:space="preserve">CM-TRACKER-SYNC-IDEMPOTENT</w:t>
            </w:r>
            <w:r>
              <w:t xml:space="preserve"> </w:t>
            </w:r>
            <w:r>
              <w:t xml:space="preserve">(gate-code = separate work item). §11.4.149 Per-workable-item testing-diary: every item carries an append-only TESTING DIARY (date/time + tested-by + result + in-depth observations + action-taken+why), distinct from §11.4.93 item_history (state) + §11.4.55 Reopens (cycles) — it records TEST EXECUTIONS — (a)</w:t>
            </w:r>
            <w:r>
              <w:t xml:space="preserve"> </w:t>
            </w:r>
            <w:r>
              <w:rPr>
                <w:rStyle w:val="VerbatimChar"/>
              </w:rPr>
              <w:t xml:space="preserve">test_diary</w:t>
            </w:r>
            <w:r>
              <w:t xml:space="preserve"> </w:t>
            </w:r>
            <w:r>
              <w:t xml:space="preserve">table in the §11.4.93/.95 SQLite SSoT with a schema constraint making a PASS-without-evidence-path impossible §11.4.69; (b) in-depth diary + derived at-a-glance summary VIEW feeding §11.4.132 risk-ordering; (c) 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§11.4.86-fingerprinted + §11.4.106 docs_chain-bound (never missed); (d) external-tracker SUB-TASK model with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4"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5"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4">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5"/>
    <w:bookmarkStart w:id="106"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6"/>
    <w:bookmarkStart w:id="109"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7">
        <w:r>
          <w:rPr>
            <w:rStyle w:val="Hyperlink"/>
          </w:rPr>
          <w:t xml:space="preserve">https://github.com/vasic-digital/containers</w:t>
        </w:r>
      </w:hyperlink>
      <w:r>
        <w:t xml:space="preserve"> </w:t>
      </w:r>
      <w:r>
        <w:t xml:space="preserve">(</w:t>
      </w:r>
      <w:hyperlink r:id="rId108">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9"/>
    <w:bookmarkStart w:id="110"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0"/>
    <w:bookmarkStart w:id="111"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1"/>
    <w:bookmarkStart w:id="112"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2"/>
    <w:bookmarkStart w:id="113"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3"/>
    <w:bookmarkStart w:id="114"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4"/>
    <w:bookmarkStart w:id="124"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5"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5"/>
    <w:bookmarkStart w:id="116"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6"/>
    <w:bookmarkStart w:id="117"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7"/>
    <w:bookmarkStart w:id="118"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8"/>
    <w:bookmarkStart w:id="119"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19"/>
    <w:bookmarkStart w:id="120"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0"/>
    <w:bookmarkStart w:id="121"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1"/>
    <w:bookmarkStart w:id="122"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2"/>
    <w:bookmarkStart w:id="123"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3"/>
    <w:bookmarkEnd w:id="124"/>
    <w:bookmarkStart w:id="125"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5"/>
    <w:bookmarkStart w:id="126"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6"/>
    <w:bookmarkStart w:id="127"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7"/>
    <w:bookmarkStart w:id="128"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8"/>
    <w:bookmarkStart w:id="129"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29"/>
    <w:bookmarkStart w:id="130"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0"/>
    <w:bookmarkStart w:id="13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1"/>
    <w:bookmarkStart w:id="132"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2"/>
    <w:bookmarkStart w:id="133"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3"/>
    <w:bookmarkStart w:id="134"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4"/>
    <w:bookmarkStart w:id="135"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5"/>
    <w:bookmarkStart w:id="136"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6"/>
    <w:bookmarkStart w:id="137"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7"/>
    <w:bookmarkStart w:id="138"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8"/>
    <w:bookmarkStart w:id="139"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39"/>
    <w:bookmarkStart w:id="14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0"/>
    <w:bookmarkStart w:id="142"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1">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2"/>
    <w:bookmarkStart w:id="143"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3"/>
    <w:bookmarkStart w:id="144"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4"/>
    <w:bookmarkStart w:id="145"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5"/>
    <w:bookmarkStart w:id="146"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6"/>
    <w:bookmarkStart w:id="147"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7"/>
    <w:bookmarkStart w:id="148"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8"/>
    <w:bookmarkStart w:id="149"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49"/>
    <w:bookmarkStart w:id="150"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0"/>
    <w:bookmarkStart w:id="151"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1"/>
    <w:bookmarkStart w:id="152"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2"/>
    <w:bookmarkStart w:id="153"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3"/>
    <w:bookmarkStart w:id="154"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 </w:t>
      </w:r>
      <w:r>
        <w:t xml:space="preserve">flag exists.</w:t>
      </w:r>
    </w:p>
    <w:p>
      <w:r>
        <w:pict>
          <v:rect style="width:0;height:1.5pt" o:hralign="center" o:hrstd="t" o:hr="t"/>
        </w:pict>
      </w:r>
    </w:p>
    <w:bookmarkEnd w:id="154"/>
    <w:bookmarkStart w:id="155"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5"/>
    <w:bookmarkStart w:id="156"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6"/>
    <w:bookmarkStart w:id="157"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7"/>
    <w:bookmarkStart w:id="158"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8"/>
    <w:bookmarkStart w:id="159"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59"/>
    <w:bookmarkStart w:id="160"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0"/>
    <w:bookmarkStart w:id="161"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1"/>
    <w:bookmarkStart w:id="162"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 </w:t>
      </w:r>
      <w:r>
        <w:t xml:space="preserve">flag exists.</w:t>
      </w:r>
    </w:p>
    <w:p>
      <w:r>
        <w:pict>
          <v:rect style="width:0;height:1.5pt" o:hralign="center" o:hrstd="t" o:hr="t"/>
        </w:pict>
      </w:r>
    </w:p>
    <w:bookmarkEnd w:id="162"/>
    <w:bookmarkStart w:id="163"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3"/>
    <w:bookmarkStart w:id="164"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4"/>
    <w:bookmarkStart w:id="165"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5"/>
    <w:bookmarkStart w:id="166"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6"/>
    <w:bookmarkStart w:id="167"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7"/>
    <w:bookmarkStart w:id="168"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8"/>
    <w:bookmarkStart w:id="169"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69"/>
    <w:bookmarkStart w:id="170"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0"/>
    <w:bookmarkStart w:id="171"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1"/>
    <w:bookmarkStart w:id="172"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2"/>
    <w:bookmarkStart w:id="173"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3"/>
    <w:bookmarkStart w:id="174"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4"/>
    <w:bookmarkStart w:id="175"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5"/>
    <w:bookmarkStart w:id="17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6"/>
    <w:bookmarkStart w:id="179"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7">
        <w:r>
          <w:rPr>
            <w:rStyle w:val="Hyperlink"/>
          </w:rPr>
          <w:t xml:space="preserve">https://developers.google.com/solutions/content-driven/backend/testing</w:t>
        </w:r>
      </w:hyperlink>
      <w:r>
        <w:t xml:space="preserve">; AOSP CTS/Tradefed continuous-regression model</w:t>
      </w:r>
      <w:r>
        <w:t xml:space="preserve"> </w:t>
      </w:r>
      <w:hyperlink r:id="rId178">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bookmarkEnd w:id="179"/>
    <w:bookmarkStart w:id="182"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0">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1">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2"/>
    <w:bookmarkStart w:id="189"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3">
        <w:r>
          <w:rPr>
            <w:rStyle w:val="Hyperlink"/>
          </w:rPr>
          <w:t xml:space="preserve">https://developer.android.com/security/fraud-prevention/activities</w:t>
        </w:r>
      </w:hyperlink>
      <w:r>
        <w:t xml:space="preserve">; Nightwatch</w:t>
      </w:r>
      <w:r>
        <w:t xml:space="preserve"> </w:t>
      </w:r>
      <w:hyperlink r:id="rId184">
        <w:r>
          <w:rPr>
            <w:rStyle w:val="Hyperlink"/>
          </w:rPr>
          <w:t xml:space="preserve">https://wwws.nightwatchcybersecurity.com/2016/04/13/research-securing-android-applications-from-screen-capture/</w:t>
        </w:r>
      </w:hyperlink>
      <w:r>
        <w:t xml:space="preserve">; WithSecure</w:t>
      </w:r>
      <w:r>
        <w:t xml:space="preserve"> </w:t>
      </w:r>
      <w:hyperlink r:id="rId185">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6">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7">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8">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89"/>
    <w:bookmarkStart w:id="190"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0"/>
    <w:bookmarkStart w:id="191"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1"/>
    <w:bookmarkStart w:id="192"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2"/>
    <w:bookmarkStart w:id="193"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3"/>
    <w:bookmarkStart w:id="194"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4"/>
    <w:bookmarkStart w:id="195"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5"/>
    <w:bookmarkStart w:id="196"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6"/>
    <w:bookmarkStart w:id="197"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7"/>
    <w:bookmarkStart w:id="198"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bookmarkEnd w:id="198"/>
    <w:bookmarkStart w:id="199"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199"/>
    <w:bookmarkStart w:id="200"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0"/>
    <w:bookmarkStart w:id="201"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1"/>
    <w:bookmarkStart w:id="202"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2"/>
    <w:bookmarkStart w:id="203"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3"/>
    <w:bookmarkStart w:id="204"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4"/>
    <w:bookmarkStart w:id="205"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5"/>
    <w:bookmarkStart w:id="206"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6"/>
    <w:bookmarkStart w:id="207"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7"/>
    <w:bookmarkStart w:id="208"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8"/>
    <w:bookmarkStart w:id="209"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09"/>
    <w:bookmarkStart w:id="210"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0"/>
    <w:bookmarkStart w:id="211"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1"/>
    <w:bookmarkStart w:id="212"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2"/>
    <w:bookmarkStart w:id="213"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3"/>
    <w:bookmarkStart w:id="215"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4">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5"/>
    <w:bookmarkStart w:id="216"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6"/>
    <w:bookmarkStart w:id="217"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7"/>
    <w:bookmarkStart w:id="218"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8"/>
    <w:bookmarkStart w:id="219"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19"/>
    <w:bookmarkStart w:id="220"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0"/>
    <w:bookmarkStart w:id="221"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1"/>
    <w:bookmarkStart w:id="222"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8">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2"/>
    <w:bookmarkStart w:id="223"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3"/>
    <w:bookmarkEnd w:id="224"/>
    <w:bookmarkStart w:id="232"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5"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5"/>
    <w:bookmarkStart w:id="226"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6"/>
    <w:bookmarkStart w:id="227"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7"/>
    <w:bookmarkStart w:id="228"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8"/>
    <w:bookmarkStart w:id="229"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29"/>
    <w:bookmarkStart w:id="230"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0"/>
    <w:bookmarkStart w:id="231"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1"/>
    <w:bookmarkEnd w:id="232"/>
    <w:bookmarkStart w:id="238"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3">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4">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5">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6">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7">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8"/>
    <w:bookmarkStart w:id="239"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r>
        <w:pict>
          <v:rect style="width:0;height:1.5pt" o:hralign="center" o:hrstd="t" o:hr="t"/>
        </w:pict>
      </w:r>
    </w:p>
    <w:bookmarkEnd w:id="239"/>
    <w:bookmarkStart w:id="240"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240"/>
    <w:bookmarkEnd w:id="2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141" Target="https://core.telegram.org/api/obtaining_api_id" TargetMode="External" /><Relationship Type="http://schemas.openxmlformats.org/officeDocument/2006/relationships/hyperlink" Id="rId180" Target="https://developer.android.com/media/media3/exoplayer/oems" TargetMode="External" /><Relationship Type="http://schemas.openxmlformats.org/officeDocument/2006/relationships/hyperlink" Id="rId183" Target="https://developer.android.com/security/fraud-prevention/activities" TargetMode="External" /><Relationship Type="http://schemas.openxmlformats.org/officeDocument/2006/relationships/hyperlink" Id="rId177" Target="https://developers.google.com/solutions/content-driven/backend/testing" TargetMode="External" /><Relationship Type="http://schemas.openxmlformats.org/officeDocument/2006/relationships/hyperlink" Id="rId187"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8" Target="https://github.com/apptek/SubER" TargetMode="External" /><Relationship Type="http://schemas.openxmlformats.org/officeDocument/2006/relationships/hyperlink" Id="rId181" Target="https://github.com/bbc/exoplayer-testing-samples" TargetMode="External" /><Relationship Type="http://schemas.openxmlformats.org/officeDocument/2006/relationships/hyperlink" Id="rId214" Target="https://github.com/nexu-io/open-design" TargetMode="External" /><Relationship Type="http://schemas.openxmlformats.org/officeDocument/2006/relationships/hyperlink" Id="rId235"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7" Target="https://github.com/vasic-digital/containers" TargetMode="External" /><Relationship Type="http://schemas.openxmlformats.org/officeDocument/2006/relationships/hyperlink" Id="rId185" Target="https://labs.withsecure.com/advisories/screencapture-via-ui-overlays-in-mediaprojection" TargetMode="External" /><Relationship Type="http://schemas.openxmlformats.org/officeDocument/2006/relationships/hyperlink" Id="rId237" Target="https://mull.readthedocs.io/" TargetMode="External" /><Relationship Type="http://schemas.openxmlformats.org/officeDocument/2006/relationships/hyperlink" Id="rId236" Target="https://mutmut.readthedocs.io/" TargetMode="External" /><Relationship Type="http://schemas.openxmlformats.org/officeDocument/2006/relationships/hyperlink" Id="rId233" Target="https://pitest.org/" TargetMode="External" /><Relationship Type="http://schemas.openxmlformats.org/officeDocument/2006/relationships/hyperlink" Id="rId178" Target="https://source.android.com/docs/compatibility/cts" TargetMode="External" /><Relationship Type="http://schemas.openxmlformats.org/officeDocument/2006/relationships/hyperlink" Id="rId234" Target="https://stryker-mutator.io/" TargetMode="External" /><Relationship Type="http://schemas.openxmlformats.org/officeDocument/2006/relationships/hyperlink" Id="rId186" Target="https://www.gte-media.com/cea-608-and-cea-708-captions/" TargetMode="External" /><Relationship Type="http://schemas.openxmlformats.org/officeDocument/2006/relationships/hyperlink" Id="rId184" Target="https://wwws.nightwatchcybersecurity.com/2016/04/13/research-securing-android-applications-from-screen-capture/" TargetMode="External" /><Relationship Type="http://schemas.openxmlformats.org/officeDocument/2006/relationships/hyperlink" Id="rId108" Target="mailto:git@github.com" TargetMode="External" /><Relationship Type="http://schemas.openxmlformats.org/officeDocument/2006/relationships/hyperlink" Id="rId104"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2026-07-08T10:21:51Z</dcterms:created>
  <dcterms:modified xsi:type="dcterms:W3CDTF">2026-07-08T10:21:51Z</dcterms:modified>
</cp:coreProperties>
</file>

<file path=docProps/custom.xml><?xml version="1.0" encoding="utf-8"?>
<Properties xmlns="http://schemas.openxmlformats.org/officeDocument/2006/custom-properties" xmlns:vt="http://schemas.openxmlformats.org/officeDocument/2006/docPropsVTypes"/>
</file>