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GRAMMAR_ADDENDUM</w:t>
      </w:r>
    </w:p>
    <w:bookmarkStart w:id="14" w:name="Xd162bf3802e9ce685c830e85163a4cf59e1ce56"/>
    <w:p>
      <w:pPr>
        <w:pStyle w:val="Heading1"/>
      </w:pPr>
      <w:r>
        <w:t xml:space="preserve">Grammar Addendum — slash form + namespace prefix (operator mandate, 2026-06-09)</w:t>
      </w:r>
    </w:p>
    <w:p>
      <w:pPr>
        <w:pStyle w:val="FirstParagraph"/>
      </w:pPr>
      <w:r>
        <w:t xml:space="preserve">EXTENDS the §11.4.140 action-prefix design with two equivalences. Every registered action (e.g. BACKGROUND) MUST be invocable in ALL of these EQUIVALENT forms — same action, same expansion, same execution: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Do X</w:t>
            </w:r>
          </w:p>
        </w:tc>
        <w:tc>
          <w:tcPr/>
          <w:p>
            <w:pPr>
              <w:pStyle w:val="Compact"/>
            </w:pPr>
            <w:r>
              <w:t xml:space="preserve">bare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 (no namespace)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PREFIX::ACTION_NAME ::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DEFAULT::BACKGROUND :: Do X</w:t>
            </w:r>
          </w:p>
        </w:tc>
        <w:tc>
          <w:tcPr/>
          <w:p>
            <w:pPr>
              <w:pStyle w:val="Compact"/>
            </w:pPr>
            <w:r>
              <w:t xml:space="preserve">namespaced</w:t>
            </w:r>
            <w:r>
              <w:t xml:space="preserve"> </w:t>
            </w:r>
            <w:r>
              <w:rPr>
                <w:rStyle w:val="VerbatimChar"/>
              </w:rPr>
              <w:t xml:space="preserve">::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/BACKGROUND Do X</w:t>
            </w:r>
          </w:p>
        </w:tc>
        <w:tc>
          <w:tcPr/>
          <w:p>
            <w:pPr>
              <w:pStyle w:val="Compact"/>
            </w:pPr>
            <w:r>
              <w:t xml:space="preserve">bare slash form — ONLY if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 </w:t>
            </w:r>
            <w:r>
              <w:t xml:space="preserve">does NOT collide with an existing/built-in slash command of the host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/PREFIX::ACTION_NAME &lt;rest&gt;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/DEFAULT::BACKGROUND Do X</w:t>
            </w:r>
          </w:p>
        </w:tc>
        <w:tc>
          <w:tcPr/>
          <w:p>
            <w:pPr>
              <w:pStyle w:val="Compact"/>
            </w:pPr>
            <w:r>
              <w:t xml:space="preserve">namespaced slash form — disambiguates from any existing</w:t>
            </w:r>
            <w:r>
              <w:t xml:space="preserve"> </w:t>
            </w:r>
            <w:r>
              <w:rPr>
                <w:rStyle w:val="VerbatimChar"/>
              </w:rPr>
              <w:t xml:space="preserve">/ACTION_NAME</w:t>
            </w:r>
            <w:r>
              <w:t xml:space="preserve">; ALWAYS safe</w:t>
            </w:r>
          </w:p>
        </w:tc>
      </w:tr>
    </w:tbl>
    <w:bookmarkStart w:id="9" w:name="namespace-prefix"/>
    <w:p>
      <w:pPr>
        <w:pStyle w:val="Heading2"/>
      </w:pPr>
      <w:r>
        <w:t xml:space="preserve">Namespace prefix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PREFIX</w:t>
      </w:r>
      <w:r>
        <w:t xml:space="preserve"> </w:t>
      </w:r>
      <w:r>
        <w:t xml:space="preserve">is an action NAMESPACE. The reserved default namespace is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. Custom namespaces are permitted (e.g. a project/plugin namespace) so the same action can run under the default OR a custom prefix.</w:t>
      </w:r>
    </w:p>
    <w:p>
      <w:pPr>
        <w:pStyle w:val="Compact"/>
        <w:numPr>
          <w:ilvl w:val="0"/>
          <w:numId w:val="1001"/>
        </w:numPr>
      </w:pPr>
      <w:r>
        <w:t xml:space="preserve">An action is executable WITH or WITHOUT the prefix:</w:t>
      </w:r>
      <w:r>
        <w:t xml:space="preserve"> </w:t>
      </w:r>
      <w:r>
        <w:rPr>
          <w:rStyle w:val="VerbatimChar"/>
        </w:rPr>
        <w:t xml:space="preserve">BACKGROUND ::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::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Namespace separator inside the token is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(no surrounding spaces):</w:t>
      </w:r>
      <w:r>
        <w:t xml:space="preserve"> </w:t>
      </w:r>
      <w:r>
        <w:rPr>
          <w:rStyle w:val="VerbatimChar"/>
        </w:rPr>
        <w:t xml:space="preserve">PREFIX::ACTION_NAME</w:t>
      </w:r>
      <w:r>
        <w:t xml:space="preserve">. This is DISTINCT from the action-body separator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(spaces both sides) used in forms 1/2 between the token and</w:t>
      </w:r>
      <w:r>
        <w:t xml:space="preserve"> </w:t>
      </w:r>
      <w:r>
        <w:rPr>
          <w:rStyle w:val="VerbatimChar"/>
        </w:rPr>
        <w:t xml:space="preserve">&lt;rest&gt;</w:t>
      </w:r>
      <w:r>
        <w:t xml:space="preserve">.</w:t>
      </w:r>
    </w:p>
    <w:bookmarkEnd w:id="9"/>
    <w:bookmarkStart w:id="10" w:name="X2679f05a76a26ba10c547cbde8032f088984541"/>
    <w:p>
      <w:pPr>
        <w:pStyle w:val="Heading2"/>
      </w:pPr>
      <w:r>
        <w:t xml:space="preserve">Grammar (extended, anchored to first non-blank line)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</w:t>
      </w:r>
      <w:r>
        <w:t xml:space="preserve">-form regex:</w:t>
      </w:r>
      <w:r>
        <w:t xml:space="preserve"> </w:t>
      </w:r>
      <w:r>
        <w:rPr>
          <w:rStyle w:val="VerbatimChar"/>
        </w:rPr>
        <w:t xml:space="preserve">^(?:([A-Z][A-Z0-9_]*)::)?([A-Z][A-Z0-9_]*) :: (.*)$</w:t>
      </w:r>
      <w:r>
        <w:t xml:space="preserve"> </w:t>
      </w:r>
      <w:r>
        <w:t xml:space="preserve">→ group1=optional PREFIX, group2=ACTION_NAME, group3=rest.</w:t>
      </w:r>
    </w:p>
    <w:p>
      <w:pPr>
        <w:pStyle w:val="Compact"/>
        <w:numPr>
          <w:ilvl w:val="0"/>
          <w:numId w:val="1002"/>
        </w:numPr>
      </w:pPr>
      <w:r>
        <w:t xml:space="preserve">slash-form regex:</w:t>
      </w:r>
      <w:r>
        <w:t xml:space="preserve"> </w:t>
      </w:r>
      <w:r>
        <w:rPr>
          <w:rStyle w:val="VerbatimChar"/>
        </w:rPr>
        <w:t xml:space="preserve">^/(?:([A-Z][A-Z0-9_]*)::)?([A-Z][A-Z0-9_]*)\s+(.*)$</w:t>
      </w:r>
      <w:r>
        <w:t xml:space="preserve"> </w:t>
      </w:r>
      <w:r>
        <w:t xml:space="preserve">→ group1=optional PREFIX, group2=ACTION_NAME, group3=rest.</w:t>
      </w:r>
    </w:p>
    <w:p>
      <w:pPr>
        <w:pStyle w:val="Compact"/>
        <w:numPr>
          <w:ilvl w:val="0"/>
          <w:numId w:val="1002"/>
        </w:numPr>
      </w:pPr>
      <w:r>
        <w:t xml:space="preserve">Token case: ACTION_NAME and PREFIX are UPPERCASE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 </w:t>
      </w:r>
      <w:r>
        <w:t xml:space="preserve">(directive/macro convention — DISTINCT from the §11.4.29 lowercase file/dir naming, which still governs the registry FILE names + script names).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is the reserved default-namespace literal.</w:t>
      </w:r>
    </w:p>
    <w:p>
      <w:pPr>
        <w:pStyle w:val="Compact"/>
        <w:numPr>
          <w:ilvl w:val="0"/>
          <w:numId w:val="1002"/>
        </w:numPr>
      </w:pPr>
      <w:r>
        <w:t xml:space="preserve">Escape: leading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makes the line literal (no expansion):</w:t>
      </w:r>
      <w:r>
        <w:t xml:space="preserve"> </w:t>
      </w:r>
      <w:r>
        <w:rPr>
          <w:rStyle w:val="VerbatimChar"/>
        </w:rPr>
        <w:t xml:space="preserve">\BACKGROUND :: 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Unknown grammar-shaped token (looks like an action but not in the registry) → ask per §11.4.66/§11.4.105, NEVER silently expand/drop (§11.4.6).</w:t>
      </w:r>
    </w:p>
    <w:bookmarkEnd w:id="10"/>
    <w:bookmarkStart w:id="11" w:name="conflict-rule-slash-form"/>
    <w:p>
      <w:pPr>
        <w:pStyle w:val="Heading2"/>
      </w:pPr>
      <w:r>
        <w:t xml:space="preserve">Conflict rule (slash form)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/ACTION_NAME</w:t>
      </w:r>
      <w:r>
        <w:t xml:space="preserve"> </w:t>
      </w:r>
      <w:r>
        <w:t xml:space="preserve">(form 3) is honored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 for the collision check) does not match a built-in/host slash command. The registry MAY carry a per-action</w:t>
      </w:r>
      <w:r>
        <w:t xml:space="preserve"> </w:t>
      </w:r>
      <w:r>
        <w:rPr>
          <w:rStyle w:val="VerbatimChar"/>
        </w:rPr>
        <w:t xml:space="preserve">slash_bare: true|false|auto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enable bare slash unless a known host command collides.</w:t>
      </w:r>
    </w:p>
    <w:p>
      <w:pPr>
        <w:pStyle w:val="Compact"/>
        <w:numPr>
          <w:ilvl w:val="0"/>
          <w:numId w:val="1003"/>
        </w:numPr>
      </w:pPr>
      <w:r>
        <w:t xml:space="preserve">Form 4 (</w:t>
      </w:r>
      <w:r>
        <w:rPr>
          <w:rStyle w:val="VerbatimChar"/>
        </w:rPr>
        <w:t xml:space="preserve">/PREFIX::ACTION_NAME</w:t>
      </w:r>
      <w:r>
        <w:t xml:space="preserve">) is ALWAYS unambiguous and always honored.</w:t>
      </w:r>
    </w:p>
    <w:bookmarkEnd w:id="11"/>
    <w:bookmarkStart w:id="12" w:name="registry-schema-additions"/>
    <w:p>
      <w:pPr>
        <w:pStyle w:val="Heading2"/>
      </w:pPr>
      <w:r>
        <w:t xml:space="preserve">Registry schema additions</w:t>
      </w:r>
    </w:p>
    <w:p>
      <w:pPr>
        <w:pStyle w:val="SourceCode"/>
      </w:pPr>
      <w:r>
        <w:rPr>
          <w:rStyle w:val="FunctionTok"/>
        </w:rPr>
        <w:t xml:space="preserve">grammar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default_namespace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'::'</w:t>
      </w:r>
      <w:r>
        <w:rPr>
          <w:rStyle w:val="CommentTok"/>
        </w:rPr>
        <w:t xml:space="preserve">        # inside the token, no spaces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:: '</w:t>
      </w:r>
      <w:r>
        <w:rPr>
          <w:rStyle w:val="CommentTok"/>
        </w:rPr>
        <w:t xml:space="preserve">           # token &lt;-&gt; rest, spaces both sides ('::' form)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'/'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slash_body_separator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 '</w:t>
      </w:r>
      <w:r>
        <w:rPr>
          <w:rStyle w:val="CommentTok"/>
        </w:rPr>
        <w:t xml:space="preserve">        # token &lt;-&gt; rest (slash form)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BACKGROUND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DEFAULT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# which namespaces this action is registered under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  # bare /BACKGROUND honored unless host-command collision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CommentTok"/>
        </w:rPr>
        <w:t xml:space="preserve">             # known colliding host slash commands (forces /DEFAULT::BACKGROUND)</w:t>
      </w:r>
      <w:r>
        <w:br/>
      </w:r>
      <w:r>
        <w:rPr>
          <w:rStyle w:val="CommentTok"/>
        </w:rPr>
        <w:t xml:space="preserve">    # ... expansion, rules, composes_with as before</w:t>
      </w:r>
    </w:p>
    <w:bookmarkEnd w:id="12"/>
    <w:bookmarkStart w:id="13" w:name="impl-impact"/>
    <w:p>
      <w:pPr>
        <w:pStyle w:val="Heading2"/>
      </w:pPr>
      <w:r>
        <w:t xml:space="preserve">Impl impact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apx_parse_prefix</w:t>
      </w:r>
      <w:r>
        <w:t xml:space="preserve"> </w:t>
      </w:r>
      <w:r>
        <w:t xml:space="preserve">MUST recognize all 4 forms, returning (namespace|DEFAULT, action, rest, matched_form).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apx_expand_prompt</w:t>
      </w:r>
      <w:r>
        <w:t xml:space="preserve"> </w:t>
      </w:r>
      <w:r>
        <w:t xml:space="preserve">resolves namespace+action against the registry; bare-slash honored per the conflict rule.</w:t>
      </w:r>
    </w:p>
    <w:p>
      <w:pPr>
        <w:pStyle w:val="Compact"/>
        <w:numPr>
          <w:ilvl w:val="0"/>
          <w:numId w:val="1004"/>
        </w:numPr>
      </w:pPr>
      <w:r>
        <w:t xml:space="preserve">LAYER-2 hook handles all 4 first-line forms.</w:t>
      </w:r>
    </w:p>
    <w:p>
      <w:pPr>
        <w:pStyle w:val="Compact"/>
        <w:numPr>
          <w:ilvl w:val="0"/>
          <w:numId w:val="1004"/>
        </w:numPr>
      </w:pPr>
      <w:r>
        <w:t xml:space="preserve">The slash-command generator already emits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(form 3) per agent; ADD the namespaced</w:t>
      </w:r>
      <w:r>
        <w:t xml:space="preserve"> </w:t>
      </w:r>
      <w:r>
        <w:rPr>
          <w:rStyle w:val="VerbatimChar"/>
        </w:rPr>
        <w:t xml:space="preserve">/default::background</w:t>
      </w:r>
      <w:r>
        <w:t xml:space="preserve"> </w:t>
      </w:r>
      <w:r>
        <w:t xml:space="preserve">(form 4) where the agent's command syntax allows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(else a</w:t>
      </w:r>
      <w:r>
        <w:t xml:space="preserve"> </w:t>
      </w:r>
      <w:r>
        <w:rPr>
          <w:rStyle w:val="VerbatimChar"/>
        </w:rPr>
        <w:t xml:space="preserve">default-background</w:t>
      </w:r>
      <w:r>
        <w:t xml:space="preserve"> </w:t>
      </w:r>
      <w:r>
        <w:t xml:space="preserve">alias) + document the collision fallback.</w:t>
      </w:r>
    </w:p>
    <w:p>
      <w:pPr>
        <w:pStyle w:val="Compact"/>
        <w:numPr>
          <w:ilvl w:val="0"/>
          <w:numId w:val="1004"/>
        </w:numPr>
      </w:pPr>
      <w:r>
        <w:t xml:space="preserve">recognition_instruction.md teaches the agent all 4 forms + the conflict rule + escape.</w:t>
      </w:r>
    </w:p>
    <w:p>
      <w:pPr>
        <w:pStyle w:val="FirstParagraph"/>
      </w:pPr>
      <w:r>
        <w:t xml:space="preserve">Naming: action/namespace tokens UPPERCASE; FILES/DIRS lowercase snake_case (§11.4.29). DEFAULT is the reserved default namespace literal.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GRAMMAR_ADDENDUM</dc:title>
  <dc:creator/>
  <dc:language>en</dc:language>
  <cp:keywords/>
  <dcterms:created xsi:type="dcterms:W3CDTF">2026-06-09T15:04:06Z</dcterms:created>
  <dcterms:modified xsi:type="dcterms:W3CDTF">2026-06-09T15:04:06Z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