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TEST_PLAN</w:t>
      </w:r>
    </w:p>
    <w:bookmarkStart w:id="31" w:name="X0ed370e953d709a999a73d359214931520ba3b7"/>
    <w:p>
      <w:pPr>
        <w:pStyle w:val="Heading1"/>
      </w:pPr>
      <w:r>
        <w:t xml:space="preserve">Token-Efficiency Test Plan — all supported test types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2026-06-09T08:30:00Z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design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submodule, universal (§11.4.17). Realises §11.4.4(b) four-layer coverage + §11.4.27 (100% test-type coverage) + §1.1 (paired mutation) + §11.4.50 (deterministic N-iteration) + §11.4.81 (cross-platform parity) for the §11.4.141 mandate. Proves three things: (a) the measures WORK (measured reduction), (b) NO regression to existing mechanisms/quality (compatibility suite), (c) per-agent applicability.</w:t>
      </w:r>
    </w:p>
    <w:p>
      <w:r>
        <w:pict>
          <v:rect style="width:0;height:1.5pt" o:hralign="center" o:hrstd="t" o:hr="t"/>
        </w:pict>
      </w:r>
    </w:p>
    <w:bookmarkStart w:id="14" w:name="Xe40ac2d91730d5772a61e79cff6ee113692c2f7"/>
    <w:p>
      <w:pPr>
        <w:pStyle w:val="Heading2"/>
      </w:pPr>
      <w:r>
        <w:t xml:space="preserve">A. (a) The measures work — measured-reduction tests</w:t>
      </w:r>
    </w:p>
    <w:bookmarkStart w:id="9" w:name="a1--unit-cost-formula--usage-parser"/>
    <w:p>
      <w:pPr>
        <w:pStyle w:val="Heading3"/>
      </w:pPr>
      <w:r>
        <w:t xml:space="preserve">A1 — Unit: cost formula + usage-parser</w:t>
      </w:r>
    </w:p>
    <w:p>
      <w:pPr>
        <w:pStyle w:val="FirstParagraph"/>
      </w:pPr>
      <w:r>
        <w:t xml:space="preserve">Mocks/stubs PERMITTED (unit only, §11.4.27). Feed synthetic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objects (known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cache_creation_input_tokens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output_tokens</w:t>
      </w:r>
      <w:r>
        <w:t xml:space="preserve">, known per-model prices) into the §MEASUREMENT cost formula; assert the computed cost matches the hand-calculated expectation, including the 0.1×/1.25×/2× cache multipliers and per-model summation for tiering. Assert the parser rejects</w:t>
      </w:r>
      <w:r>
        <w:t xml:space="preserve"> </w:t>
      </w:r>
      <w:r>
        <w:rPr>
          <w:rStyle w:val="VerbatimChar"/>
        </w:rPr>
        <w:t xml:space="preserve">tiktoken</w:t>
      </w:r>
      <w:r>
        <w:t xml:space="preserve">-style estimates and the client-side</w:t>
      </w:r>
      <w:r>
        <w:t xml:space="preserve"> </w:t>
      </w:r>
      <w:r>
        <w:rPr>
          <w:rStyle w:val="VerbatimChar"/>
        </w:rPr>
        <w:t xml:space="preserve">total_cost_usd</w:t>
      </w:r>
      <w:r>
        <w:t xml:space="preserve"> </w:t>
      </w:r>
      <w:r>
        <w:t xml:space="preserve">as authoritative.</w:t>
      </w:r>
    </w:p>
    <w:bookmarkEnd w:id="9"/>
    <w:bookmarkStart w:id="10" w:name="X3bdbbce72e26bf2f34f544005a8486c3f4a9fca"/>
    <w:p>
      <w:pPr>
        <w:pStyle w:val="Heading3"/>
      </w:pPr>
      <w:r>
        <w:t xml:space="preserve">A2 — Integration: real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capture (no fakes — §11.4.27)</w:t>
      </w:r>
    </w:p>
    <w:p>
      <w:pPr>
        <w:pStyle w:val="FirstParagraph"/>
      </w:pPr>
      <w:r>
        <w:t xml:space="preserve">Run ONE real workload turn against the live agent; assert the harness captured a real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 with all four fields populated and recomputed cost from them. No mock of the API. Evidence: the raw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JSON.</w:t>
      </w:r>
    </w:p>
    <w:bookmarkEnd w:id="10"/>
    <w:bookmarkStart w:id="11" w:name="X45591d10c59b113ee0ba0afe22f4044103e0646"/>
    <w:p>
      <w:pPr>
        <w:pStyle w:val="Heading3"/>
      </w:pPr>
      <w:r>
        <w:t xml:space="preserve">A3 — End-to-end: BEFORE/AFTER measured reduction (the core proof)</w:t>
      </w:r>
    </w:p>
    <w:p>
      <w:pPr>
        <w:pStyle w:val="FirstParagraph"/>
      </w:pPr>
      <w:r>
        <w:t xml:space="preserve">Run the frozen deterministic workload (MEASUREMENT §2) on BEFORE config (governance inlined, no tiering, no index) and AFTER config (M1–M7 applied). Assert</w:t>
      </w:r>
      <w:r>
        <w:t xml:space="preserve"> </w:t>
      </w:r>
      <w:r>
        <w:rPr>
          <w:rStyle w:val="VerbatimChar"/>
        </w:rPr>
        <w:t xml:space="preserve">AFTER ≤ 0.40 × BEFORE</w:t>
      </w:r>
      <w:r>
        <w:t xml:space="preserve"> </w:t>
      </w:r>
      <w:r>
        <w:t xml:space="preserve">(PASS) OR</w:t>
      </w:r>
      <w:r>
        <w:t xml:space="preserve"> </w:t>
      </w:r>
      <w:r>
        <w:rPr>
          <w:rStyle w:val="VerbatimChar"/>
        </w:rPr>
        <w:t xml:space="preserve">≤ 0.55× BEFORE</w:t>
      </w:r>
      <w:r>
        <w:t xml:space="preserve"> </w:t>
      </w:r>
      <w:r>
        <w:t xml:space="preserve">with cited cold-cache reason (WARN). Captured:</w:t>
      </w:r>
      <w:r>
        <w:t xml:space="preserve"> </w:t>
      </w:r>
      <w:r>
        <w:rPr>
          <w:rStyle w:val="VerbatimChar"/>
        </w:rPr>
        <w:t xml:space="preserve">cycle_report.before.json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cycle_report.after.json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. This is the §11.4.69 captured-evidence artefact.</w:t>
      </w:r>
    </w:p>
    <w:bookmarkEnd w:id="11"/>
    <w:bookmarkStart w:id="12" w:name="a4--per-lever-attribution"/>
    <w:p>
      <w:pPr>
        <w:pStyle w:val="Heading3"/>
      </w:pPr>
      <w:r>
        <w:t xml:space="preserve">A4 — Per-lever attribution</w:t>
      </w:r>
    </w:p>
    <w:p>
      <w:pPr>
        <w:pStyle w:val="FirstParagraph"/>
      </w:pPr>
      <w:r>
        <w:t xml:space="preserve">Run the workload with ONLY M1, then M1+M2, then +M4, +M5, +M6, +M3, +M7 (cumulative). Assert each measured step's reduction is consistent with RESEARCH §4's ranked estimates (M1 the largest; M2 the largest non-cache; etc.). This proves the headline number is built from real per-lever contributions, not a single opaque drop.</w:t>
      </w:r>
    </w:p>
    <w:bookmarkEnd w:id="12"/>
    <w:bookmarkStart w:id="13" w:name="a5--deterministic-consistency-11450"/>
    <w:p>
      <w:pPr>
        <w:pStyle w:val="Heading3"/>
      </w:pPr>
      <w:r>
        <w:t xml:space="preserve">A5 — Deterministic consistency (§11.4.50)</w:t>
      </w:r>
    </w:p>
    <w:p>
      <w:pPr>
        <w:pStyle w:val="FirstParagraph"/>
      </w:pPr>
      <w:r>
        <w:t xml:space="preserve">Re-run A3 N=3 (normal) / N=10 (cycle-validation). Assert all N BEFORE token-splits identical AND all N AFTER token-splits identical (deterministic workload ⇒ identical splits). Any divergence = auto-FAIL (fix workload nondeterminism before any cost claim).</w:t>
      </w:r>
    </w:p>
    <w:bookmarkEnd w:id="13"/>
    <w:bookmarkEnd w:id="14"/>
    <w:bookmarkStart w:id="22" w:name="Xec42d90ec3f08a90bb5dfa8e2c7d2fd561250b8"/>
    <w:p>
      <w:pPr>
        <w:pStyle w:val="Heading2"/>
      </w:pPr>
      <w:r>
        <w:t xml:space="preserve">B. (b) No regression — compatibility suite (the must-not-break proof)</w:t>
      </w:r>
    </w:p>
    <w:bookmarkStart w:id="15" w:name="b1--pre-build-full-sweep-parity-11440"/>
    <w:p>
      <w:pPr>
        <w:pStyle w:val="Heading3"/>
      </w:pPr>
      <w:r>
        <w:t xml:space="preserve">B1 — Pre-build full sweep parity (§11.4.40)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-equivalent on BEFORE and AFTER trees; assert identical PASS/FAIL set. Proves no source gate broke.</w:t>
      </w:r>
    </w:p>
    <w:bookmarkEnd w:id="15"/>
    <w:bookmarkStart w:id="16" w:name="X111c709ca6da8821211360be94ed045d42f010b"/>
    <w:p>
      <w:pPr>
        <w:pStyle w:val="Heading3"/>
      </w:pPr>
      <w:r>
        <w:t xml:space="preserve">B2 — Meta-test mutation sweep (§1.1) — proves M3 created no bluff gate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meta_test_false_positive_proof.sh</w:t>
      </w:r>
      <w:r>
        <w:t xml:space="preserve">-equivalent on the AFTER tree; assert EVERY gate still FAILs its paired mutation. Critical for M3: a rule moved to an index must still have a gate that catches its negation. If any gate now passes-under-mutation, M3 turned a rule into a bluff → FAIL.</w:t>
      </w:r>
    </w:p>
    <w:bookmarkEnd w:id="16"/>
    <w:bookmarkStart w:id="17" w:name="X594491104142146d4ae3a2005465d9bef1db2fd"/>
    <w:p>
      <w:pPr>
        <w:pStyle w:val="Heading3"/>
      </w:pPr>
      <w:r>
        <w:t xml:space="preserve">B3 — Propagation-gate parity (literal anchors intact after M3)</w:t>
      </w:r>
    </w:p>
    <w:p>
      <w:pPr>
        <w:pStyle w:val="FirstParagraph"/>
      </w:pPr>
      <w:r>
        <w:t xml:space="preserve">Assert every</w:t>
      </w:r>
      <w:r>
        <w:t xml:space="preserve"> </w:t>
      </w:r>
      <w:r>
        <w:rPr>
          <w:rStyle w:val="VerbatimChar"/>
        </w:rPr>
        <w:t xml:space="preserve">CM-COVENANT-114-N-PROPAGATION</w:t>
      </w:r>
      <w:r>
        <w:t xml:space="preserve"> </w:t>
      </w:r>
      <w:r>
        <w:t xml:space="preserve">gate passes on the AFTER consumer files — proves each index line kept its literal</w:t>
      </w:r>
      <w:r>
        <w:t xml:space="preserve"> </w:t>
      </w:r>
      <w:r>
        <w:rPr>
          <w:rStyle w:val="VerbatimChar"/>
        </w:rPr>
        <w:t xml:space="preserve">11.4.N</w:t>
      </w:r>
      <w:r>
        <w:t xml:space="preserve"> </w:t>
      </w:r>
      <w:r>
        <w:t xml:space="preserve">token and the canonical full text is still gate-scanned in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. Mutation: strip the literal</w:t>
      </w:r>
      <w:r>
        <w:t xml:space="preserve"> </w:t>
      </w:r>
      <w:r>
        <w:rPr>
          <w:rStyle w:val="VerbatimChar"/>
        </w:rPr>
        <w:t xml:space="preserve">11.4.141</w:t>
      </w:r>
      <w:r>
        <w:t xml:space="preserve"> </w:t>
      </w:r>
      <w:r>
        <w:t xml:space="preserve">from one index line →</w:t>
      </w:r>
      <w:r>
        <w:t xml:space="preserve"> </w:t>
      </w:r>
      <w:r>
        <w:rPr>
          <w:rStyle w:val="VerbatimChar"/>
        </w:rPr>
        <w:t xml:space="preserve">CM-COVENANT-114-141-PROPAGATION</w:t>
      </w:r>
      <w:r>
        <w:t xml:space="preserve"> </w:t>
      </w:r>
      <w:r>
        <w:t xml:space="preserve">FAILs.</w:t>
      </w:r>
    </w:p>
    <w:bookmarkEnd w:id="17"/>
    <w:bookmarkStart w:id="18" w:name="X65451ed37e9304e82b724fdeb5f2b3c12460c44"/>
    <w:p>
      <w:pPr>
        <w:pStyle w:val="Heading3"/>
      </w:pPr>
      <w:r>
        <w:t xml:space="preserve">B4 — Strong-model reasoning-path probe (proves M2/M5 tiered nothing that decides)</w:t>
      </w:r>
    </w:p>
    <w:p>
      <w:pPr>
        <w:pStyle w:val="FirstParagraph"/>
      </w:pPr>
      <w:r>
        <w:t xml:space="preserve">Run one fixed reasoning/review turn (a known fix-design or code-review prompt) on the AFTER config; assert it ran on the strong model and produced an equivalent-quality verdict vs the BEFORE run. Mutation: tier this reasoning turn down to Haiku → assert the verdict quality degrades / the gate flags a forbidden tier-down → FAIL. Proves the mechanical-only allowlist is enforced.</w:t>
      </w:r>
    </w:p>
    <w:bookmarkEnd w:id="18"/>
    <w:bookmarkStart w:id="19" w:name="Xc4e3731276ed39431a493995b289dac9fc8c133"/>
    <w:p>
      <w:pPr>
        <w:pStyle w:val="Heading3"/>
      </w:pPr>
      <w:r>
        <w:t xml:space="preserve">B5 — Cache-warm proof + silent-invalidator detection (proves M1 engaged)</w:t>
      </w:r>
    </w:p>
    <w:p>
      <w:pPr>
        <w:pStyle w:val="FirstParagraph"/>
      </w:pPr>
      <w:r>
        <w:t xml:space="preserve">Assert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the governance-bearing turns of the AFTER run. This is also the §1.1 mutation for</w:t>
      </w:r>
      <w:r>
        <w:t xml:space="preserve"> </w:t>
      </w:r>
      <w:r>
        <w:rPr>
          <w:rStyle w:val="VerbatimChar"/>
        </w:rPr>
        <w:t xml:space="preserve">CM-TOKEN-EFFICIENCY</w:t>
      </w:r>
      <w:r>
        <w:t xml:space="preserve">: inject a per-turn timestamp/UUID ahead of the cache breakpoint →</w:t>
      </w:r>
      <w:r>
        <w:t xml:space="preserve"> </w:t>
      </w:r>
      <w:r>
        <w:rPr>
          <w:rStyle w:val="VerbatimChar"/>
        </w:rPr>
        <w:t xml:space="preserve">cache_read_input_tokens</w:t>
      </w:r>
      <w:r>
        <w:t xml:space="preserve"> </w:t>
      </w:r>
      <w:r>
        <w:t xml:space="preserve">collapses toward 0 AND the measured reduction falls below the bar → gate FAILs; restore the stable prefix → PASSes. Proves the harness measures real caching, not a hardcoded green.</w:t>
      </w:r>
    </w:p>
    <w:bookmarkEnd w:id="19"/>
    <w:bookmarkStart w:id="20" w:name="X917915c99443107f38862836023eb086f6404e0"/>
    <w:p>
      <w:pPr>
        <w:pStyle w:val="Heading3"/>
      </w:pPr>
      <w:r>
        <w:t xml:space="preserve">B6 — Rule-reachability probe (proves M3 deleted nothing)</w:t>
      </w:r>
    </w:p>
    <w:p>
      <w:pPr>
        <w:pStyle w:val="FirstParagraph"/>
      </w:pPr>
      <w:r>
        <w:t xml:space="preserve">For a sample of anchors moved to the index, assert the full canonical body is reachable in one hop (</w:t>
      </w:r>
      <w:r>
        <w:rPr>
          <w:rStyle w:val="VerbatimChar"/>
        </w:rPr>
        <w:t xml:space="preserve">Read constitution/Constitution.md</w:t>
      </w:r>
      <w:r>
        <w:t xml:space="preserve"> </w:t>
      </w:r>
      <w:r>
        <w:t xml:space="preserve">at the anchor returns the complete text). Mutation: delete the canonical body for one anchor → reachability probe FAILs. Proves the index is a pointer to live text, not a tombstone.</w:t>
      </w:r>
    </w:p>
    <w:bookmarkEnd w:id="20"/>
    <w:bookmarkStart w:id="21" w:name="b7--anti-bluff-covenant-family-intact"/>
    <w:p>
      <w:pPr>
        <w:pStyle w:val="Heading3"/>
      </w:pPr>
      <w:r>
        <w:t xml:space="preserve">B7 — Anti-bluff covenant family intact</w:t>
      </w:r>
    </w:p>
    <w:p>
      <w:pPr>
        <w:pStyle w:val="FirstParagraph"/>
      </w:pPr>
      <w:r>
        <w:t xml:space="preserve">Assert the AFTER config still produces captured-evidence per §11.4.5/§11.4.69 on a representative feature test (audio/video/sysfs/sink-probe) — terse output (M5) and output-to-file (M2) did not drop the evidence, only the conductor's narration. Mutation: a config that suppresses evidence capture → the feature test's evidence assertion FAILs.</w:t>
      </w:r>
    </w:p>
    <w:bookmarkEnd w:id="21"/>
    <w:bookmarkEnd w:id="22"/>
    <w:bookmarkStart w:id="27" w:name="c-c-per-agent-applicability-tests"/>
    <w:p>
      <w:pPr>
        <w:pStyle w:val="Heading2"/>
      </w:pPr>
      <w:r>
        <w:t xml:space="preserve">C. (c) Per-agent applicability tests</w:t>
      </w:r>
    </w:p>
    <w:bookmarkStart w:id="23" w:name="c1--claude-code"/>
    <w:p>
      <w:pPr>
        <w:pStyle w:val="Heading3"/>
      </w:pPr>
      <w:r>
        <w:t xml:space="preserve">C1 — Claude Code</w:t>
      </w:r>
    </w:p>
    <w:p>
      <w:pPr>
        <w:pStyle w:val="FirstParagraph"/>
      </w:pPr>
      <w:r>
        <w:t xml:space="preserve">Assert native governance-prefix caching engages (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via cost-tracking JSON) and subagent</w:t>
      </w:r>
      <w:r>
        <w:t xml:space="preserve"> </w:t>
      </w:r>
      <w:r>
        <w:rPr>
          <w:rStyle w:val="VerbatimChar"/>
        </w:rPr>
        <w:t xml:space="preserve">model:</w:t>
      </w:r>
      <w:r>
        <w:t xml:space="preserve"> </w:t>
      </w:r>
      <w:r>
        <w:t xml:space="preserve">tiering routes a mechanical subagent to Haiku (observed model in the subagent result). Evidence: cost-tracking JSON + subagent model field.</w:t>
      </w:r>
    </w:p>
    <w:bookmarkEnd w:id="23"/>
    <w:bookmarkStart w:id="24" w:name="X5f459bacae4c06bc51d4d73c866e52ea734f4e3"/>
    <w:p>
      <w:pPr>
        <w:pStyle w:val="Heading3"/>
      </w:pPr>
      <w:r>
        <w:t xml:space="preserve">C2 — Anthropic-SDK driver (Cursor/Aider/custom)</w:t>
      </w:r>
    </w:p>
    <w:p>
      <w:pPr>
        <w:pStyle w:val="FirstParagraph"/>
      </w:pPr>
      <w:r>
        <w:t xml:space="preserve">Assert a</w:t>
      </w:r>
      <w:r>
        <w:t xml:space="preserve"> </w:t>
      </w:r>
      <w:r>
        <w:rPr>
          <w:rStyle w:val="VerbatimChar"/>
        </w:rPr>
        <w:t xml:space="preserve">cache_control:{type:"ephemeral"}</w:t>
      </w:r>
      <w:r>
        <w:t xml:space="preserve"> </w:t>
      </w:r>
      <w:r>
        <w:t xml:space="preserve">system block yields</w:t>
      </w:r>
      <w:r>
        <w:t xml:space="preserve"> </w:t>
      </w:r>
      <w:r>
        <w:rPr>
          <w:rStyle w:val="VerbatimChar"/>
        </w:rPr>
        <w:t xml:space="preserve">cache_read_input_tokens &gt; 0</w:t>
      </w:r>
      <w:r>
        <w:t xml:space="preserve"> </w:t>
      </w:r>
      <w:r>
        <w:t xml:space="preserve">on the second identical-prefix request. Evidence: two consecutive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objects.</w:t>
      </w:r>
    </w:p>
    <w:bookmarkEnd w:id="24"/>
    <w:bookmarkStart w:id="25" w:name="c3--gemini-cli--qwen-code"/>
    <w:p>
      <w:pPr>
        <w:pStyle w:val="Heading3"/>
      </w:pPr>
      <w:r>
        <w:t xml:space="preserve">C3 — Gemini CLI / Qwen Code</w:t>
      </w:r>
    </w:p>
    <w:p>
      <w:pPr>
        <w:pStyle w:val="FirstParagraph"/>
      </w:pPr>
      <w:r>
        <w:t xml:space="preserve">Assert API-key-auth context caching reduces processed tokens on a repeated context (Gemini/Qwen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/cache-hit telemetry). SKIP-with-reason per §11.4.3 if the agent is not configured in the project (never a fake PASS).</w:t>
      </w:r>
    </w:p>
    <w:bookmarkEnd w:id="25"/>
    <w:bookmarkStart w:id="26" w:name="c4--cross-platform-parity-11481"/>
    <w:p>
      <w:pPr>
        <w:pStyle w:val="Heading3"/>
      </w:pPr>
      <w:r>
        <w:t xml:space="preserve">C4 — Cross-platform parity (§11.4.81)</w:t>
      </w:r>
    </w:p>
    <w:p>
      <w:pPr>
        <w:pStyle w:val="FirstParagraph"/>
      </w:pPr>
      <w:r>
        <w:t xml:space="preserve">The harness scripts parse under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 and run on every supported host OS; SKIP-with-honest-kernel-reason where a platform genuinely cannot run a step (§11.4.81(C)).</w:t>
      </w:r>
    </w:p>
    <w:bookmarkEnd w:id="26"/>
    <w:bookmarkEnd w:id="27"/>
    <w:bookmarkStart w:id="28" w:name="d-helixqa-challenge-11427--1144b-layer-4"/>
    <w:p>
      <w:pPr>
        <w:pStyle w:val="Heading2"/>
      </w:pPr>
      <w:r>
        <w:t xml:space="preserve">D. HelixQA Challenge (§11.4.27 / §11.4.4(b) layer 4)</w:t>
      </w:r>
    </w:p>
    <w:p>
      <w:pPr>
        <w:pStyle w:val="FirstParagraph"/>
      </w:pPr>
      <w:r>
        <w:t xml:space="preserve">A HelixQA Challenge that drives the BEFORE/AFTER harness end-to-end and scores PASS only on the captured</w:t>
      </w:r>
      <w:r>
        <w:t xml:space="preserve"> </w:t>
      </w:r>
      <w:r>
        <w:rPr>
          <w:rStyle w:val="VerbatimChar"/>
        </w:rPr>
        <w:t xml:space="preserve">verdict.txt</w:t>
      </w:r>
      <w:r>
        <w:t xml:space="preserve"> </w:t>
      </w:r>
      <w:r>
        <w:t xml:space="preserve">showing the measured reduction ≥ target-or-cited-floor AND the green non-regression sweep. A Challenge that scores PASS without the captured verdict is itself a §11.4 PASS-bluff.</w:t>
      </w:r>
    </w:p>
    <w:bookmarkEnd w:id="28"/>
    <w:bookmarkStart w:id="29" w:name="e-stress--chaos-11485"/>
    <w:p>
      <w:pPr>
        <w:pStyle w:val="Heading2"/>
      </w:pPr>
      <w:r>
        <w:t xml:space="preserve">E. Stress + chaos (§11.4.85)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Stress:</w:t>
      </w:r>
      <w:r>
        <w:t xml:space="preserve"> </w:t>
      </w:r>
      <w:r>
        <w:t xml:space="preserve">run the workload N≥100 / ≥30s; assert the measured reduction is stable (p50/p95/p99 of per-cycle cost within tolerance) — proves the win is not a lucky single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Chaos:</w:t>
      </w:r>
      <w:r>
        <w:t xml:space="preserve"> </w:t>
      </w:r>
      <w:r>
        <w:t xml:space="preserve">inject cache-cold (kill the cache between turns / exceed TTL), network fault, and a subagent process-death mid-dispatch; assert the regime DEGRADES GRACEFULLY (falls back to the cold-cache floor reduction, never crashes, never silently asserts the warm number) and recovers. Cleanup in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 </w:t>
      </w:r>
      <w:r>
        <w:t xml:space="preserve">(§11.4.14).</w:t>
      </w:r>
    </w:p>
    <w:bookmarkEnd w:id="29"/>
    <w:bookmarkStart w:id="30" w:name="f-four-layer-coverage-summary-1144b"/>
    <w:p>
      <w:pPr>
        <w:pStyle w:val="Heading2"/>
      </w:pPr>
      <w:r>
        <w:t xml:space="preserve">F. Four-layer coverage summary (§11.4.4(b))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Pre-build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CM-TOKEN-EFFICIENCY</w:t>
            </w:r>
            <w:r>
              <w:t xml:space="preserve"> </w:t>
            </w:r>
            <w:r>
              <w:t xml:space="preserve">(harness exists + verdict ≥ bar-or-floor + non-regression green + cache-warm proof) +</w:t>
            </w:r>
            <w:r>
              <w:t xml:space="preserve"> </w:t>
            </w:r>
            <w:r>
              <w:rPr>
                <w:rStyle w:val="VerbatimChar"/>
              </w:rPr>
              <w:t xml:space="preserve">CM-COVENANT-114-141-PROPAGATION</w:t>
            </w:r>
            <w:r>
              <w:t xml:space="preserve"> </w:t>
            </w:r>
            <w:r>
              <w:t xml:space="preserve">(literal anchor across fleet)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Post-build / artifact</w:t>
            </w:r>
          </w:p>
        </w:tc>
        <w:tc>
          <w:tcPr/>
          <w:p>
            <w:pPr>
              <w:pStyle w:val="Compact"/>
            </w:pPr>
            <w:r>
              <w:t xml:space="preserve">the harness's</w:t>
            </w:r>
            <w:r>
              <w:t xml:space="preserve"> </w:t>
            </w:r>
            <w:r>
              <w:rPr>
                <w:rStyle w:val="VerbatimChar"/>
              </w:rPr>
              <w:t xml:space="preserve">cycle_report.*.json</w:t>
            </w:r>
            <w:r>
              <w:t xml:space="preserve"> </w:t>
            </w:r>
            <w:r>
              <w:t xml:space="preserve">are the artefact-layer evidence (the measured tokens actually dropped)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On-device / runtime</w:t>
            </w:r>
          </w:p>
        </w:tc>
        <w:tc>
          <w:tcPr/>
          <w:p>
            <w:pPr>
              <w:pStyle w:val="Compact"/>
            </w:pPr>
            <w:r>
              <w:t xml:space="preserve">A3/A5 + B5 run against the live agent (LIVE per §11.4.51) producing real</w:t>
            </w:r>
            <w:r>
              <w:t xml:space="preserve"> </w:t>
            </w:r>
            <w:r>
              <w:rPr>
                <w:rStyle w:val="VerbatimChar"/>
              </w:rPr>
              <w:t xml:space="preserve">usage</w:t>
            </w:r>
            <w:r>
              <w:t xml:space="preserve"> </w:t>
            </w:r>
            <w:r>
              <w:t xml:space="preserve">evidence under the project's</w:t>
            </w:r>
            <w:r>
              <w:t xml:space="preserve"> </w:t>
            </w:r>
            <w:r>
              <w:rPr>
                <w:rStyle w:val="VerbatimChar"/>
              </w:rPr>
              <w:t xml:space="preserve">qa-results/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Meta-test paired mutation</w:t>
            </w:r>
          </w:p>
        </w:tc>
        <w:tc>
          <w:tcPr/>
          <w:p>
            <w:pPr>
              <w:pStyle w:val="Compact"/>
            </w:pPr>
            <w:r>
              <w:t xml:space="preserve">B5 (cache invalidator), B3 (strip anchor), B4 (tier-down reasoning), B6 (delete canonical body) — every gate provably FAILs its negation (§1.1)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HelixQA Challenge</w:t>
            </w:r>
          </w:p>
        </w:tc>
        <w:tc>
          <w:tcPr/>
          <w:p>
            <w:pPr>
              <w:pStyle w:val="Compact"/>
            </w:pPr>
            <w:r>
              <w:t xml:space="preserve">§D</w:t>
            </w:r>
          </w:p>
        </w:tc>
      </w:tr>
    </w:tbl>
    <w:p>
      <w:pPr>
        <w:pStyle w:val="BodyText"/>
      </w:pPr>
      <w:r>
        <w:t xml:space="preserve">No layer may be skipped because "this only touches caching" (§11.4.4(b)). The cost win and the no-regression proof ship together or not at all.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TEST_PLAN</dc:title>
  <dc:creator/>
  <dc:language>en</dc:language>
  <cp:keywords/>
  <dcterms:created xsi:type="dcterms:W3CDTF">2026-06-09T15:04:16Z</dcterms:created>
  <dcterms:modified xsi:type="dcterms:W3CDTF">2026-06-09T15:04:16Z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