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subagent_model_tiering</w:t>
      </w:r>
    </w:p>
    <w:bookmarkStart w:id="15" w:name="Xa0f6584cb0679b86e0bd7950984223875fb2a9e"/>
    <w:p>
      <w:pPr>
        <w:pStyle w:val="Heading1"/>
      </w:pPr>
      <w:r>
        <w:t xml:space="preserve">subagent_model_tiering.md — §11.4.141 Measure M2 (route mechanical subagents to a cheaper model)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2026-06-09T00:00:00Z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constitution submodule, universal (§11.4.17). Measure</w:t>
            </w:r>
            <w:r>
              <w:t xml:space="preserve"> </w:t>
            </w:r>
            <w:r>
              <w:rPr>
                <w:b/>
                <w:bCs/>
              </w:rPr>
              <w:t xml:space="preserve">M2</w:t>
            </w:r>
            <w:r>
              <w:t xml:space="preserve"> </w:t>
            </w:r>
            <w:r>
              <w:t xml:space="preserve">of §11.4.141 — the biggest</w:t>
            </w:r>
            <w:r>
              <w:t xml:space="preserve"> </w:t>
            </w:r>
            <w:r>
              <w:rPr>
                <w:b/>
                <w:bCs/>
              </w:rPr>
              <w:t xml:space="preserve">non-cache</w:t>
            </w:r>
            <w:r>
              <w:t xml:space="preserve"> </w:t>
            </w:r>
            <w:r>
              <w:t xml:space="preserve">win.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What this is.</w:t>
      </w:r>
      <w:r>
        <w:t xml:space="preserve"> </w:t>
      </w:r>
      <w:r>
        <w:t xml:space="preserve">The rule + mechanism for routing</w:t>
      </w:r>
      <w:r>
        <w:t xml:space="preserve"> </w:t>
      </w:r>
      <w:r>
        <w:rPr>
          <w:b/>
          <w:bCs/>
        </w:rPr>
        <w:t xml:space="preserve">MECHANICAL, NON-JUDGMENT</w:t>
      </w:r>
      <w:r>
        <w:t xml:space="preserve"> </w:t>
      </w:r>
      <w:r>
        <w:t xml:space="preserve">subagent work (grep / search / status-probe / simple-edit / parse / doc-export /</w:t>
      </w:r>
      <w:r>
        <w:t xml:space="preserve"> </w:t>
      </w:r>
      <w:r>
        <w:t xml:space="preserve">file-presence / read-only device probe) to a</w:t>
      </w:r>
      <w:r>
        <w:t xml:space="preserve"> </w:t>
      </w:r>
      <w:r>
        <w:rPr>
          <w:b/>
          <w:bCs/>
        </w:rPr>
        <w:t xml:space="preserve">cheaper / smaller model</w:t>
      </w:r>
      <w:r>
        <w:t xml:space="preserve"> </w:t>
      </w:r>
      <w:r>
        <w:t xml:space="preserve">(Haiku-class),</w:t>
      </w:r>
      <w:r>
        <w:t xml:space="preserve"> </w:t>
      </w:r>
      <w:r>
        <w:t xml:space="preserve">while the</w:t>
      </w:r>
      <w:r>
        <w:t xml:space="preserve"> </w:t>
      </w:r>
      <w:r>
        <w:rPr>
          <w:b/>
          <w:bCs/>
        </w:rPr>
        <w:t xml:space="preserve">strong model owns ALL judgment</w:t>
      </w:r>
      <w:r>
        <w:t xml:space="preserve"> </w:t>
      </w:r>
      <w:r>
        <w:t xml:space="preserve">— every PASS/FAIL verdict, every fix design /</w:t>
      </w:r>
      <w:r>
        <w:t xml:space="preserve"> </w:t>
      </w:r>
      <w:r>
        <w:t xml:space="preserve">root-cause (§11.4.102), every code review (§11.4.125), every demotion-evidence decision</w:t>
      </w:r>
      <w:r>
        <w:t xml:space="preserve"> </w:t>
      </w:r>
      <w:r>
        <w:t xml:space="preserve">(§11.4.7).</w:t>
      </w:r>
      <w:r>
        <w:t xml:space="preserve"> </w:t>
      </w:r>
      <w:r>
        <w:rPr>
          <w:b/>
          <w:bCs/>
        </w:rPr>
        <w:t xml:space="preserve">The cheap model NEVER emits a verdict</w:t>
      </w:r>
      <w:r>
        <w:t xml:space="preserve">, so §11.4.50 determinism and the</w:t>
      </w:r>
      <w:r>
        <w:t xml:space="preserve"> </w:t>
      </w:r>
      <w:r>
        <w:t xml:space="preserve">anti-bluff covenant are untouched — quality cannot degrade. Subagents also persist large</w:t>
      </w:r>
      <w:r>
        <w:t xml:space="preserve"> </w:t>
      </w:r>
      <w:r>
        <w:t xml:space="preserve">output to a file and return a short pointer instead of an inline 350–520K-token transcript.</w:t>
      </w:r>
    </w:p>
    <w:p>
      <w:r>
        <w:pict>
          <v:rect style="width:0;height:1.5pt" o:hralign="center" o:hrstd="t" o:hr="t"/>
        </w:pict>
      </w:r>
    </w:p>
    <w:bookmarkStart w:id="9" w:name="Xb377e4ceffaf14b7e8b7c2797788422f2a3e241"/>
    <w:p>
      <w:pPr>
        <w:pStyle w:val="Heading2"/>
      </w:pPr>
      <w:r>
        <w:t xml:space="preserve">0. The bright line — what may and may NOT be tiered 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TIER-DOWN (mechanical, safe → Haiku-class)</w:t>
            </w:r>
          </w:p>
        </w:tc>
        <w:tc>
          <w:tcPr/>
          <w:p>
            <w:pPr>
              <w:pStyle w:val="Compact"/>
            </w:pPr>
            <w:r>
              <w:t xml:space="preserve">STRONG-MODEL-ONLY (judgment → NEVER tier down)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code/log search, grep, glob</w:t>
            </w:r>
          </w:p>
        </w:tc>
        <w:tc>
          <w:tcPr/>
          <w:p>
            <w:pPr>
              <w:pStyle w:val="Compact"/>
            </w:pPr>
            <w:r>
              <w:t xml:space="preserve">any PASS / FAIL / WARN / SKIP</w:t>
            </w:r>
            <w:r>
              <w:t xml:space="preserve"> </w:t>
            </w:r>
            <w:r>
              <w:rPr>
                <w:b/>
                <w:bCs/>
              </w:rP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probes (</w:t>
            </w:r>
            <w:r>
              <w:rPr>
                <w:rStyle w:val="VerbatimChar"/>
              </w:rPr>
              <w:t xml:space="preserve">dumpsys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getprop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/sys</w:t>
            </w:r>
            <w:r>
              <w:t xml:space="preserve"> </w:t>
            </w:r>
            <w:r>
              <w:t xml:space="preserve">reads)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 design / root-cause</w:t>
            </w:r>
            <w:r>
              <w:t xml:space="preserve"> </w:t>
            </w:r>
            <w:r>
              <w:t xml:space="preserve">(§11.4.102)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 export / regen (pandoc / weasyprint)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review</w:t>
            </w:r>
            <w:r>
              <w:t xml:space="preserve"> </w:t>
            </w:r>
            <w:r>
              <w:t xml:space="preserve">(§11.4.125)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file-presence / path checks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demotion-evidence</w:t>
            </w:r>
            <w:r>
              <w:t xml:space="preserve"> </w:t>
            </w:r>
            <w:r>
              <w:t xml:space="preserve">judgment (§11.4.7)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/ lint / format-only edits</w:t>
            </w:r>
          </w:p>
        </w:tc>
        <w:tc>
          <w:tcPr/>
          <w:p>
            <w:pPr>
              <w:pStyle w:val="Compact"/>
            </w:pPr>
            <w:r>
              <w:t xml:space="preserve">captured-evidence</w:t>
            </w:r>
            <w:r>
              <w:t xml:space="preserve"> </w:t>
            </w:r>
            <w:r>
              <w:rPr>
                <w:b/>
                <w:bCs/>
              </w:rPr>
              <w:t xml:space="preserve">interpretation</w:t>
            </w:r>
            <w:r>
              <w:t xml:space="preserve"> </w:t>
            </w:r>
            <w:r>
              <w:t xml:space="preserve">(is this audio glitchy?)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 sync, mechanical renames</w:t>
            </w:r>
          </w:p>
        </w:tc>
        <w:tc>
          <w:tcPr/>
          <w:p>
            <w:pPr>
              <w:pStyle w:val="Compact"/>
            </w:pPr>
            <w:r>
              <w:t xml:space="preserve">architectural / blast-radius analysis (§11.4.92)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read-only device probes (§11.4.96 SAFE catalogue)</w:t>
            </w:r>
          </w:p>
        </w:tc>
        <w:tc>
          <w:tcPr/>
          <w:p>
            <w:pPr>
              <w:pStyle w:val="Compact"/>
            </w:pPr>
            <w:r>
              <w:t xml:space="preserve">anything producing a release-affecting decision</w:t>
            </w:r>
          </w:p>
        </w:tc>
      </w:tr>
    </w:tbl>
    <w:p>
      <w:pPr>
        <w:pStyle w:val="BodyText"/>
      </w:pPr>
      <w:r>
        <w:t xml:space="preserve">The allowlist is expressed as a</w:t>
      </w:r>
      <w:r>
        <w:t xml:space="preserve"> </w:t>
      </w:r>
      <w:r>
        <w:rPr>
          <w:b/>
          <w:bCs/>
        </w:rPr>
        <w:t xml:space="preserve">task class</w:t>
      </w:r>
      <w:r>
        <w:t xml:space="preserve">, never as project package names — so it is</w:t>
      </w:r>
      <w:r>
        <w:t xml:space="preserve"> </w:t>
      </w:r>
      <w:r>
        <w:t xml:space="preserve">universal. If a task could</w:t>
      </w:r>
      <w:r>
        <w:t xml:space="preserve"> </w:t>
      </w:r>
      <w:r>
        <w:rPr>
          <w:b/>
          <w:bCs/>
        </w:rPr>
        <w:t xml:space="preserve">decide</w:t>
      </w:r>
      <w:r>
        <w:t xml:space="preserve"> </w:t>
      </w:r>
      <w:r>
        <w:t xml:space="preserve">anything (does this PASS? is this the root cause? is</w:t>
      </w:r>
      <w:r>
        <w:t xml:space="preserve"> </w:t>
      </w:r>
      <w:r>
        <w:t xml:space="preserve">this safe to ship?), it is strong-model-only, full stop.</w:t>
      </w:r>
    </w:p>
    <w:p>
      <w:r>
        <w:pict>
          <v:rect style="width:0;height:1.5pt" o:hralign="center" o:hrstd="t" o:hr="t"/>
        </w:pict>
      </w:r>
    </w:p>
    <w:bookmarkEnd w:id="9"/>
    <w:bookmarkStart w:id="10" w:name="X1bdfbc2f3b71a1882f9c695509b5305ae4fa3e3"/>
    <w:p>
      <w:pPr>
        <w:pStyle w:val="Heading2"/>
      </w:pPr>
      <w:r>
        <w:t xml:space="preserve">1. The registry (data, not code)</w:t>
      </w:r>
    </w:p>
    <w:p>
      <w:pPr>
        <w:pStyle w:val="FirstParagraph"/>
      </w:pPr>
      <w:r>
        <w:rPr>
          <w:rStyle w:val="VerbatimChar"/>
        </w:rPr>
        <w:t xml:space="preserve">actions/subagent_tiering.yaml</w:t>
      </w:r>
      <w:r>
        <w:t xml:space="preserve"> </w:t>
      </w:r>
      <w:r>
        <w:t xml:space="preserve">is the single source of truth mapping a task class → its</w:t>
      </w:r>
      <w:r>
        <w:t xml:space="preserve"> </w:t>
      </w:r>
      <w:r>
        <w:t xml:space="preserve">model tier. A consuming project ships its own (or inherits this default by reference, like</w:t>
      </w:r>
      <w:r>
        <w:t xml:space="preserve"> </w:t>
      </w:r>
      <w:r>
        <w:t xml:space="preserve">the §11.4.80</w:t>
      </w:r>
      <w:r>
        <w:t xml:space="preserve"> </w:t>
      </w:r>
      <w:r>
        <w:rPr>
          <w:rStyle w:val="VerbatimChar"/>
        </w:rPr>
        <w:t xml:space="preserve">codegraph_*</w:t>
      </w:r>
      <w:r>
        <w:t xml:space="preserve"> </w:t>
      </w:r>
      <w:r>
        <w:t xml:space="preserve">scripts). Adding a task class = adding one row — no code change.</w:t>
      </w:r>
    </w:p>
    <w:p>
      <w:pPr>
        <w:pStyle w:val="SourceCode"/>
      </w:pPr>
      <w:r>
        <w:rPr>
          <w:rStyle w:val="CommentTok"/>
        </w:rPr>
        <w:t xml:space="preserve"># actions/subagent_tiering.yaml  (excerpt — see the file for the full default set)</w:t>
      </w:r>
      <w:r>
        <w:br/>
      </w:r>
      <w:r>
        <w:rPr>
          <w:rStyle w:val="FunctionTok"/>
        </w:rPr>
        <w:t xml:space="preserve">mechanical_model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haiku</w:t>
      </w:r>
      <w:r>
        <w:rPr>
          <w:rStyle w:val="CommentTok"/>
        </w:rPr>
        <w:t xml:space="preserve">    # cheaper/smaller tier for the mechanical allowlist</w:t>
      </w:r>
      <w:r>
        <w:br/>
      </w:r>
      <w:r>
        <w:rPr>
          <w:rStyle w:val="FunctionTok"/>
        </w:rPr>
        <w:t xml:space="preserve">judgment_model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inherit</w:t>
      </w:r>
      <w:r>
        <w:rPr>
          <w:rStyle w:val="CommentTok"/>
        </w:rPr>
        <w:t xml:space="preserve">  # strong tier: the conductor's own model (opus-class)</w:t>
      </w:r>
      <w:r>
        <w:br/>
      </w:r>
      <w:r>
        <w:rPr>
          <w:rStyle w:val="FunctionTok"/>
        </w:rPr>
        <w:t xml:space="preserve">classes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code_search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mechanical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status_probe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mechanical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doc_export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mechanical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pass_fail_verdict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judgment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NEVER mechanical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fix_design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judgment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code_review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judgment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scripts/subagent_tier.sh &lt;task-class&gt;</w:t>
      </w:r>
      <w:r>
        <w:t xml:space="preserve"> </w:t>
      </w:r>
      <w:r>
        <w:t xml:space="preserve">reads this registry and prints the model tier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mechanical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judgment</w:t>
      </w:r>
      <w:r>
        <w:t xml:space="preserve">) and the resolved model id, so a dispatcher can pick the model</w:t>
      </w:r>
      <w:r>
        <w:t xml:space="preserve"> </w:t>
      </w:r>
      <w:r>
        <w:t xml:space="preserve">without hardcoding. It</w:t>
      </w:r>
      <w:r>
        <w:t xml:space="preserve"> </w:t>
      </w:r>
      <w:r>
        <w:rPr>
          <w:b/>
          <w:bCs/>
        </w:rPr>
        <w:t xml:space="preserve">refuses</w:t>
      </w:r>
      <w:r>
        <w:t xml:space="preserve"> </w:t>
      </w:r>
      <w:r>
        <w:t xml:space="preserve">(exit 1) any attempt to route a</w:t>
      </w:r>
      <w:r>
        <w:t xml:space="preserve"> </w:t>
      </w:r>
      <w:r>
        <w:rPr>
          <w:rStyle w:val="VerbatimChar"/>
        </w:rPr>
        <w:t xml:space="preserve">judgment</w:t>
      </w:r>
      <w:r>
        <w:t xml:space="preserve">-tier class to</w:t>
      </w:r>
      <w:r>
        <w:t xml:space="preserve"> </w:t>
      </w:r>
      <w:r>
        <w:t xml:space="preserve">the mechanical model (the mechanical enforcement that makes the bright line real).</w:t>
      </w:r>
    </w:p>
    <w:p>
      <w:r>
        <w:pict>
          <v:rect style="width:0;height:1.5pt" o:hralign="center" o:hrstd="t" o:hr="t"/>
        </w:pict>
      </w:r>
    </w:p>
    <w:bookmarkEnd w:id="10"/>
    <w:bookmarkStart w:id="11" w:name="Xba434d3e602d7164b08146ff6209950f3e5540f"/>
    <w:p>
      <w:pPr>
        <w:pStyle w:val="Heading2"/>
      </w:pPr>
      <w:r>
        <w:t xml:space="preserve">2. Per-agent mechanism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Mechanical (tier-down)</w:t>
            </w:r>
          </w:p>
        </w:tc>
        <w:tc>
          <w:tcPr/>
          <w:p>
            <w:pPr>
              <w:pStyle w:val="Compact"/>
            </w:pPr>
            <w:r>
              <w:t xml:space="preserve">Judgment (strong)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subagent</w:t>
            </w:r>
            <w:r>
              <w:t xml:space="preserve"> </w:t>
            </w:r>
            <w:r>
              <w:rPr>
                <w:rStyle w:val="VerbatimChar"/>
              </w:rPr>
              <w:t xml:space="preserve">model: haiku</w:t>
            </w:r>
            <w:r>
              <w:t xml:space="preserve"> </w:t>
            </w:r>
            <w:r>
              <w:t xml:space="preserve">(alias) on the mechanical allowlist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model: inherit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opus</w:t>
            </w:r>
            <w:r>
              <w:t xml:space="preserve"> </w:t>
            </w:r>
            <w:r>
              <w:t xml:space="preserve">for everything that decides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/ Qwen</w:t>
            </w:r>
          </w:p>
        </w:tc>
        <w:tc>
          <w:tcPr/>
          <w:p>
            <w:pPr>
              <w:pStyle w:val="Compact"/>
            </w:pPr>
            <w:r>
              <w:t xml:space="preserve">Gemini (cheap discovery) for the mechanical pass</w:t>
            </w:r>
          </w:p>
        </w:tc>
        <w:tc>
          <w:tcPr/>
          <w:p>
            <w:pPr>
              <w:pStyle w:val="Compact"/>
            </w:pPr>
            <w:r>
              <w:t xml:space="preserve">Qwen / the strong model for synthesis + verdicts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 / Aider</w:t>
            </w:r>
          </w:p>
        </w:tc>
        <w:tc>
          <w:tcPr/>
          <w:p>
            <w:pPr>
              <w:pStyle w:val="Compact"/>
            </w:pPr>
            <w:r>
              <w:t xml:space="preserve">per-request small-model selection for mechanical legwork</w:t>
            </w:r>
          </w:p>
        </w:tc>
        <w:tc>
          <w:tcPr/>
          <w:p>
            <w:pPr>
              <w:pStyle w:val="Compact"/>
            </w:pPr>
            <w:r>
              <w:t xml:space="preserve">strong model for review + decisions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Output-to-file.</w:t>
      </w:r>
      <w:r>
        <w:t xml:space="preserve"> </w:t>
      </w:r>
      <w:r>
        <w:t xml:space="preserve">A mechanical subagent writes its large output to a file under the</w:t>
      </w:r>
      <w:r>
        <w:t xml:space="preserve"> </w:t>
      </w:r>
      <w:r>
        <w:t xml:space="preserve">project's own artifact dir (e.g.</w:t>
      </w:r>
      <w:r>
        <w:t xml:space="preserve"> </w:t>
      </w:r>
      <w:r>
        <w:rPr>
          <w:rStyle w:val="VerbatimChar"/>
        </w:rPr>
        <w:t xml:space="preserve">qa-results/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recordings/</w:t>
      </w:r>
      <w:r>
        <w:t xml:space="preserve">, already git-ignored per</w:t>
      </w:r>
      <w:r>
        <w:t xml:space="preserve"> </w:t>
      </w:r>
      <w:r>
        <w:t xml:space="preserve">§11.4.128) and returns a</w:t>
      </w:r>
      <w:r>
        <w:t xml:space="preserve"> </w:t>
      </w:r>
      <w:r>
        <w:rPr>
          <w:b/>
          <w:bCs/>
        </w:rPr>
        <w:t xml:space="preserve">short pointer</w:t>
      </w:r>
      <w:r>
        <w:t xml:space="preserve"> </w:t>
      </w:r>
      <w:r>
        <w:t xml:space="preserve">(path + 1-line summary). This is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faithful,</w:t>
      </w:r>
      <w:r>
        <w:t xml:space="preserve"> </w:t>
      </w:r>
      <w:r>
        <w:t xml:space="preserve">not less — the full evidence is on disk per §11.4.5/§11.4.69; only the conductor's context</w:t>
      </w:r>
      <w:r>
        <w:t xml:space="preserve"> </w:t>
      </w:r>
      <w:r>
        <w:t xml:space="preserve">shrinks.</w:t>
      </w:r>
    </w:p>
    <w:p>
      <w:r>
        <w:pict>
          <v:rect style="width:0;height:1.5pt" o:hralign="center" o:hrstd="t" o:hr="t"/>
        </w:pict>
      </w:r>
    </w:p>
    <w:bookmarkEnd w:id="11"/>
    <w:bookmarkStart w:id="12" w:name="X2c0474f63061870803e69433429de43cbae5121"/>
    <w:p>
      <w:pPr>
        <w:pStyle w:val="Heading2"/>
      </w:pPr>
      <w:r>
        <w:t xml:space="preserve">3. The safety argument (why M2 cannot degrade quality)</w:t>
      </w:r>
    </w:p>
    <w:p>
      <w:pPr>
        <w:pStyle w:val="Compact"/>
        <w:numPr>
          <w:ilvl w:val="0"/>
          <w:numId w:val="1001"/>
        </w:numPr>
      </w:pPr>
      <w:r>
        <w:t xml:space="preserve">The strong model still</w:t>
      </w:r>
      <w:r>
        <w:t xml:space="preserve"> </w:t>
      </w:r>
      <w:r>
        <w:rPr>
          <w:b/>
          <w:bCs/>
        </w:rPr>
        <w:t xml:space="preserve">owns every decision and every verdict</w:t>
      </w:r>
      <w:r>
        <w:t xml:space="preserve"> </w:t>
      </w:r>
      <w:r>
        <w:t xml:space="preserve">— the cheap model never</w:t>
      </w:r>
      <w:r>
        <w:t xml:space="preserve"> </w:t>
      </w:r>
      <w:r>
        <w:t xml:space="preserve">emits a PASS/FAIL, so the §11.4 anti-bluff covenant is untouched.</w:t>
      </w:r>
    </w:p>
    <w:p>
      <w:pPr>
        <w:pStyle w:val="Compact"/>
        <w:numPr>
          <w:ilvl w:val="0"/>
          <w:numId w:val="1001"/>
        </w:numPr>
      </w:pPr>
      <w:r>
        <w:t xml:space="preserve">The mechanical allowlist is a</w:t>
      </w:r>
      <w:r>
        <w:t xml:space="preserve"> </w:t>
      </w:r>
      <w:r>
        <w:rPr>
          <w:b/>
          <w:bCs/>
        </w:rPr>
        <w:t xml:space="preserve">task class</w:t>
      </w:r>
      <w:r>
        <w:t xml:space="preserve">, mechanically checkable —</w:t>
      </w:r>
      <w:r>
        <w:t xml:space="preserve"> </w:t>
      </w:r>
      <w:r>
        <w:rPr>
          <w:rStyle w:val="VerbatimChar"/>
        </w:rPr>
        <w:t xml:space="preserve">subagent_tier.sh</w:t>
      </w:r>
      <w:r>
        <w:t xml:space="preserve"> </w:t>
      </w:r>
      <w:r>
        <w:t xml:space="preserve">refuses to tier a judgment class, so the bright line cannot be crossed by accident.</w:t>
      </w:r>
    </w:p>
    <w:p>
      <w:pPr>
        <w:pStyle w:val="Compact"/>
        <w:numPr>
          <w:ilvl w:val="0"/>
          <w:numId w:val="1001"/>
        </w:numPr>
      </w:pPr>
      <w:r>
        <w:t xml:space="preserve">Output-to-file preserves the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evidence on disk (§11.4.5/§11.4.69); only the</w:t>
      </w:r>
      <w:r>
        <w:t xml:space="preserve"> </w:t>
      </w:r>
      <w:r>
        <w:t xml:space="preserve">inline transcript shrinks.</w:t>
      </w:r>
    </w:p>
    <w:p>
      <w:pPr>
        <w:pStyle w:val="Compact"/>
        <w:numPr>
          <w:ilvl w:val="0"/>
          <w:numId w:val="1001"/>
        </w:numPr>
      </w:pPr>
      <w:r>
        <w:t xml:space="preserve">Bounded by §12.6 (60% memory) + the §11.4.58 / §11.4.103 stream caps — M2 changes which</w:t>
      </w:r>
      <w:r>
        <w:t xml:space="preserve"> </w:t>
      </w:r>
      <w:r>
        <w:t xml:space="preserve">model does the legwork, not how many streams run.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judgment</w:t>
      </w:r>
      <w:r>
        <w:t xml:space="preserve">-tier task routed to the mechanical model is the violation the §1.1 paired</w:t>
      </w:r>
      <w:r>
        <w:t xml:space="preserve"> </w:t>
      </w:r>
      <w:r>
        <w:t xml:space="preserve">mutation exploits (mutate</w:t>
      </w:r>
      <w:r>
        <w:t xml:space="preserve"> </w:t>
      </w:r>
      <w:r>
        <w:rPr>
          <w:rStyle w:val="VerbatimChar"/>
        </w:rPr>
        <w:t xml:space="preserve">subagent_tier.sh</w:t>
      </w:r>
      <w:r>
        <w:t xml:space="preserve"> </w:t>
      </w:r>
      <w:r>
        <w:t xml:space="preserve">to tier down</w:t>
      </w:r>
      <w:r>
        <w:t xml:space="preserve"> </w:t>
      </w:r>
      <w:r>
        <w:rPr>
          <w:rStyle w:val="VerbatimChar"/>
        </w:rPr>
        <w:t xml:space="preserve">pass_fail_verdict</w:t>
      </w:r>
      <w:r>
        <w:t xml:space="preserve"> </w:t>
      </w:r>
      <w:r>
        <w:t xml:space="preserve">→ the gate FAILs).</w:t>
      </w:r>
    </w:p>
    <w:p>
      <w:r>
        <w:pict>
          <v:rect style="width:0;height:1.5pt" o:hralign="center" o:hrstd="t" o:hr="t"/>
        </w:pict>
      </w:r>
    </w:p>
    <w:bookmarkEnd w:id="12"/>
    <w:bookmarkStart w:id="13" w:name="Xee8269c879529e4934cbfb64b7b37de44e6bdcd"/>
    <w:p>
      <w:pPr>
        <w:pStyle w:val="Heading2"/>
      </w:pPr>
      <w:r>
        <w:t xml:space="preserve">4. Decoupling / reuse (§11.4.28)</w:t>
      </w:r>
    </w:p>
    <w:p>
      <w:pPr>
        <w:pStyle w:val="FirstParagraph"/>
      </w:pPr>
      <w:r>
        <w:t xml:space="preserve">The allowlist is a task-class taxonomy (universal); the artifact dirs are</w:t>
      </w:r>
      <w:r>
        <w:t xml:space="preserve"> </w:t>
      </w:r>
      <w:r>
        <w:rPr>
          <w:i/>
          <w:iCs/>
        </w:rPr>
        <w:t xml:space="preserve">configured</w:t>
      </w:r>
      <w:r>
        <w:t xml:space="preserve"> </w:t>
      </w:r>
      <w:r>
        <w:t xml:space="preserve">(the</w:t>
      </w:r>
      <w:r>
        <w:t xml:space="preserve"> </w:t>
      </w:r>
      <w:r>
        <w:t xml:space="preserve">project supplies them), never hardcoded. A different project inherits M2 by shipping its own</w:t>
      </w:r>
      <w:r>
        <w:t xml:space="preserve"> </w:t>
      </w:r>
      <w:r>
        <w:rPr>
          <w:rStyle w:val="VerbatimChar"/>
        </w:rPr>
        <w:t xml:space="preserve">actions/subagent_tiering.yaml</w:t>
      </w:r>
      <w:r>
        <w:t xml:space="preserve"> </w:t>
      </w:r>
      <w:r>
        <w:t xml:space="preserve">and pointing its dispatcher at</w:t>
      </w:r>
      <w:r>
        <w:t xml:space="preserve"> </w:t>
      </w:r>
      <w:r>
        <w:rPr>
          <w:rStyle w:val="VerbatimChar"/>
        </w:rPr>
        <w:t xml:space="preserve">subagent_tier.sh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2"/>
        </w:numPr>
      </w:pPr>
      <w:r>
        <w:t xml:space="preserve">§11.4.141 (M2) · §11.4.50 (determinism — cheap model never decides) · §11.4.102</w:t>
      </w:r>
      <w:r>
        <w:t xml:space="preserve"> </w:t>
      </w:r>
      <w:r>
        <w:t xml:space="preserve">(fix-design strong-only) · §11.4.125 (code-review strong-only) · §11.4.7 (demotion strong-only)</w:t>
      </w:r>
      <w:r>
        <w:t xml:space="preserve"> </w:t>
      </w:r>
      <w:r>
        <w:t xml:space="preserve">· §11.4.5/§11.4.69 (output-to-file preserves evidence) · §11.4.128 (artifact dirs) · §12.6</w:t>
      </w:r>
      <w:r>
        <w:t xml:space="preserve"> </w:t>
      </w:r>
      <w:r>
        <w:t xml:space="preserve">/ §11.4.58 / §11.4.103 (stream + memory caps) · §1.1 (tier-down-a-verdict paired mutation).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actions/subagent_tiering.yaml</w:t>
      </w:r>
      <w:r>
        <w:t xml:space="preserve"> </w:t>
      </w:r>
      <w:r>
        <w:t xml:space="preserve">(the registry) ·</w:t>
      </w:r>
      <w:r>
        <w:t xml:space="preserve"> </w:t>
      </w:r>
      <w:r>
        <w:rPr>
          <w:rStyle w:val="VerbatimChar"/>
        </w:rPr>
        <w:t xml:space="preserve">scripts/subagent_tier.sh</w:t>
      </w:r>
      <w:r>
        <w:t xml:space="preserve"> </w:t>
      </w:r>
      <w:r>
        <w:t xml:space="preserve">(the resolver).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subagent_model_tiering</dc:title>
  <dc:creator/>
  <dc:language>en</dc:language>
  <cp:keywords/>
  <dcterms:created xsi:type="dcterms:W3CDTF">2026-06-09T15:04:24Z</dcterms:created>
  <dcterms:modified xsi:type="dcterms:W3CDTF">2026-06-09T15:04:24Z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