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</w:t>
      </w:r>
    </w:p>
    <w:bookmarkStart w:id="21" w:name="clickup_sync--phased-plan"/>
    <w:p>
      <w:pPr>
        <w:pStyle w:val="Heading1"/>
      </w:pPr>
      <w:r>
        <w:t xml:space="preserve">clickup_sync — Phased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PLAN ONLY (Phase 0). No phase below is executed by this document. Effort estimates are honest rough orders-of-magnitude, NOT commitments — this is a multi-day initiative.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(ClickUp bidirectional-sync). Companion to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honest-framing-1146"/>
    <w:p>
      <w:pPr>
        <w:pStyle w:val="Heading2"/>
      </w:pPr>
      <w:r>
        <w:t xml:space="preserve">Honest framing (§11.4.6)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multi-day</w:t>
      </w:r>
      <w:r>
        <w:t xml:space="preserve"> </w:t>
      </w:r>
      <w:r>
        <w:t xml:space="preserve">work. Each phase ships its own 4-layer test gate per</w:t>
      </w:r>
      <w:r>
        <w:t xml:space="preserve"> </w:t>
      </w:r>
      <w:r>
        <w:t xml:space="preserve">§11.4.4(b): pre-build/CI gate + autonomous test + paired §1.1 meta-test</w:t>
      </w:r>
      <w:r>
        <w:t xml:space="preserve"> </w:t>
      </w:r>
      <w:r>
        <w:t xml:space="preserve">mutation + (where user-visible) HelixQA Challenge. NO phase advances until</w:t>
      </w:r>
      <w:r>
        <w:t xml:space="preserve"> </w:t>
      </w:r>
      <w:r>
        <w:t xml:space="preserve">its predecessor is green. EVERY ClickUp-touching step defaults to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; the FIRST real ClickUp write happens ONLY in P9, and only</w:t>
      </w:r>
      <w:r>
        <w:t xml:space="preserve"> </w:t>
      </w:r>
      <w:r>
        <w:t xml:space="preserve">after operator authorization. The §11.4.28-vs-operator-convention placement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§1.4) is a</w:t>
      </w:r>
      <w:r>
        <w:t xml:space="preserve"> </w:t>
      </w:r>
      <w:r>
        <w:rPr>
          <w:b/>
          <w:bCs/>
        </w:rPr>
        <w:t xml:space="preserve">P1 BLOCKING operator decision</w:t>
      </w:r>
      <w:r>
        <w:t xml:space="preserve"> </w:t>
      </w:r>
      <w:r>
        <w:t xml:space="preserve">(§11.4.66).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Effort 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≤ half a day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0--research-done--partial"/>
    <w:p>
      <w:pPr>
        <w:pStyle w:val="Heading2"/>
      </w:pPr>
      <w:r>
        <w:t xml:space="preserve">P0 — Research [DONE / PARTIAL]</w:t>
      </w:r>
    </w:p>
    <w:p>
      <w:pPr>
        <w:pStyle w:val="FirstParagraph"/>
      </w:pPr>
      <w:r>
        <w:t xml:space="preserve">ClickUp API surface (REST endpoints, custom-statuses/types/tags model,</w:t>
      </w:r>
      <w:r>
        <w:t xml:space="preserve"> </w:t>
      </w:r>
      <w:r>
        <w:t xml:space="preserve">webhook events + signature, rate limits), conflict-resolution patterns.</w:t>
      </w:r>
      <w:r>
        <w:t xml:space="preserve"> </w:t>
      </w:r>
      <w:r>
        <w:rPr>
          <w:b/>
          <w:bCs/>
        </w:rPr>
        <w:t xml:space="preserve">STATE (FACT):</w:t>
      </w:r>
      <w:r>
        <w:t xml:space="preserve"> </w:t>
      </w:r>
      <w:r>
        <w:t xml:space="preserve">the research subagent's</w:t>
      </w:r>
      <w:r>
        <w:t xml:space="preserve"> </w:t>
      </w:r>
      <w:r>
        <w:rPr>
          <w:rStyle w:val="VerbatimChar"/>
        </w:rPr>
        <w:t xml:space="preserve">RISK_ANALYSIS.md</w:t>
      </w:r>
      <w:r>
        <w:t xml:space="preserve"> </w:t>
      </w:r>
      <w:r>
        <w:t xml:space="preserve">+ webhook</w:t>
      </w:r>
      <w:r>
        <w:t xml:space="preserve"> </w:t>
      </w:r>
      <w:r>
        <w:t xml:space="preserve">findings are NOT present in this worktree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</w:t>
      </w:r>
      <w:r>
        <w:t xml:space="preserve"> </w:t>
      </w:r>
      <w:r>
        <w:t xml:space="preserve">empty). The architecture is research-independent (all</w:t>
      </w:r>
      <w:r>
        <w:t xml:space="preserve"> </w:t>
      </w:r>
      <w:r>
        <w:t xml:space="preserve">ClickUp constants are config-injected,</w:t>
      </w:r>
      <w:r>
        <w:t xml:space="preserve"> </w:t>
      </w:r>
      <w:r>
        <w:rPr>
          <w:rStyle w:val="VerbatimChar"/>
        </w:rPr>
        <w:t xml:space="preserve">PENDING_RESEARCH:</w:t>
      </w:r>
      <w:r>
        <w:t xml:space="preserve">), but the</w:t>
      </w:r>
      <w:r>
        <w:t xml:space="preserve"> </w:t>
      </w:r>
      <w:r>
        <w:t xml:space="preserve">concrete event names / rate-limit numbers / custom-field-type ids MUST be</w:t>
      </w:r>
      <w:r>
        <w:t xml:space="preserve"> </w:t>
      </w:r>
      <w:r>
        <w:t xml:space="preserve">landed (re-run the research pass + commit</w:t>
      </w:r>
      <w:r>
        <w:t xml:space="preserve"> </w:t>
      </w:r>
      <w:r>
        <w:rPr>
          <w:rStyle w:val="VerbatimChar"/>
        </w:rPr>
        <w:t xml:space="preserve">docs/research/RISK_ANALYSIS.md</w:t>
      </w:r>
      <w:r>
        <w:t xml:space="preserve">)</w:t>
      </w:r>
      <w:r>
        <w:t xml:space="preserve"> </w:t>
      </w:r>
      <w:r>
        <w:rPr>
          <w:b/>
          <w:bCs/>
        </w:rPr>
        <w:t xml:space="preserve">before P3 init-sync and P5 webhooks</w:t>
      </w:r>
      <w:r>
        <w:t xml:space="preserve">. — Effort: S (re-confirm) · Gate:</w:t>
      </w:r>
      <w:r>
        <w:t xml:space="preserve"> </w:t>
      </w:r>
      <w:r>
        <w:t xml:space="preserve">research doc present + cites sources.</w:t>
      </w:r>
    </w:p>
    <w:bookmarkEnd w:id="10"/>
    <w:bookmarkStart w:id="11" w:name="p1--repo--scaffold--ids"/>
    <w:p>
      <w:pPr>
        <w:pStyle w:val="Heading2"/>
      </w:pPr>
      <w:r>
        <w:t xml:space="preserve">P1 — Repo + scaffold + IDs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clickup_sync</w:t>
      </w:r>
      <w:r>
        <w:t xml:space="preserve"> </w:t>
      </w:r>
      <w:r>
        <w:t xml:space="preserve">PUBLIC repo (vasic-digital, GitHub+GitLab), Go module</w:t>
      </w:r>
      <w:r>
        <w:t xml:space="preserve"> </w:t>
      </w:r>
      <w:r>
        <w:t xml:space="preserve">scaffold,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recipes,</w:t>
      </w:r>
      <w:r>
        <w:t xml:space="preserve"> </w:t>
      </w:r>
      <w:r>
        <w:t xml:space="preserve">README/CLAUDE/AGENTS/QWEN + md/html/pdf/docx exports, the</w:t>
      </w:r>
      <w:r>
        <w:t xml:space="preserve"> </w:t>
      </w:r>
      <w:r>
        <w:rPr>
          <w:rStyle w:val="VerbatimChar"/>
        </w:rPr>
        <w:t xml:space="preserve">clickup_sync.yaml</w:t>
      </w:r>
      <w:r>
        <w:t xml:space="preserve"> </w:t>
      </w:r>
      <w:r>
        <w:t xml:space="preserve">config schema +</w:t>
      </w:r>
      <w:r>
        <w:t xml:space="preserve"> </w:t>
      </w:r>
      <w:r>
        <w:rPr>
          <w:rStyle w:val="VerbatimChar"/>
        </w:rPr>
        <w:t xml:space="preserve">config.Detect()</w:t>
      </w:r>
      <w:r>
        <w:t xml:space="preserve"> </w:t>
      </w:r>
      <w:r>
        <w:t xml:space="preserve">no-op guard (§9 guard).</w:t>
      </w:r>
      <w:r>
        <w:t xml:space="preserve"> </w:t>
      </w:r>
      <w:r>
        <w:rPr>
          <w:b/>
          <w:bCs/>
        </w:rPr>
        <w:t xml:space="preserve">BLOCKING</w:t>
      </w:r>
      <w:r>
        <w:rPr>
          <w:b/>
          <w:bCs/>
        </w:rPr>
        <w:t xml:space="preserve"> </w:t>
      </w:r>
      <w:r>
        <w:rPr>
          <w:b/>
          <w:bCs/>
        </w:rPr>
        <w:t xml:space="preserve">operator decision (§11.4.66):</w:t>
      </w:r>
      <w:r>
        <w:t xml:space="preserve"> </w:t>
      </w:r>
      <w:r>
        <w:t xml:space="preserve">Option A (nested) vs Option B (root +</w:t>
      </w:r>
      <w:r>
        <w:t xml:space="preserve"> </w:t>
      </w:r>
      <w:r>
        <w:t xml:space="preserve">by-reference) per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§1.4 — recommend B. — Effort: M · Gate:</w:t>
      </w:r>
      <w:r>
        <w:t xml:space="preserve"> </w:t>
      </w:r>
      <w:r>
        <w:rPr>
          <w:rStyle w:val="VerbatimChar"/>
        </w:rPr>
        <w:t xml:space="preserve">config.Detect()</w:t>
      </w:r>
      <w:r>
        <w:t xml:space="preserve"> </w:t>
      </w:r>
      <w:r>
        <w:t xml:space="preserve">unit test (env-unset → clean exit 0) + paired mutation.</w:t>
      </w:r>
    </w:p>
    <w:bookmarkEnd w:id="11"/>
    <w:bookmarkStart w:id="12" w:name="p2--read-only-pull--db-mirror"/>
    <w:p>
      <w:pPr>
        <w:pStyle w:val="Heading2"/>
      </w:pPr>
      <w:r>
        <w:t xml:space="preserve">P2 — Read-only pull + DB-mirror</w:t>
      </w:r>
    </w:p>
    <w:p>
      <w:pPr>
        <w:pStyle w:val="FirstParagraph"/>
      </w:pPr>
      <w:r>
        <w:rPr>
          <w:rStyle w:val="VerbatimChar"/>
        </w:rPr>
        <w:t xml:space="preserve">pull</w:t>
      </w:r>
      <w:r>
        <w:t xml:space="preserve"> </w:t>
      </w:r>
      <w:r>
        <w:t xml:space="preserve">(ClickUp → DB) read-only on ClickUp; the</w:t>
      </w:r>
      <w:r>
        <w:t xml:space="preserve"> </w:t>
      </w:r>
      <w:r>
        <w:rPr>
          <w:rStyle w:val="VerbatimChar"/>
        </w:rPr>
        <w:t xml:space="preserve">clickup_binding</w:t>
      </w:r>
      <w:r>
        <w:t xml:space="preserve"> </w:t>
      </w:r>
      <w:r>
        <w:t xml:space="preserve">table</w:t>
      </w:r>
      <w:r>
        <w:t xml:space="preserve"> </w:t>
      </w:r>
      <w:r>
        <w:t xml:space="preserve">(additive, in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); canonical-mapper unit tests. NO</w:t>
      </w:r>
      <w:r>
        <w:t xml:space="preserve"> </w:t>
      </w:r>
      <w:r>
        <w:t xml:space="preserve">ClickUp writes. — Effort: L · Gate: integration pull→assert canonical</w:t>
      </w:r>
      <w:r>
        <w:t xml:space="preserve"> </w:t>
      </w:r>
      <w:r>
        <w:t xml:space="preserve">equality (sandbox fixture) + binding-table round-trip + paired mutation.</w:t>
      </w:r>
    </w:p>
    <w:bookmarkEnd w:id="12"/>
    <w:bookmarkStart w:id="13" w:name="Xff7a13129f9a227b3b0574e267ab4982e38f281"/>
    <w:p>
      <w:pPr>
        <w:pStyle w:val="Heading2"/>
      </w:pPr>
      <w:r>
        <w:t xml:space="preserve">P3 — Dry-run init-sync + status/type/label mirror</w:t>
      </w:r>
    </w:p>
    <w:p>
      <w:pPr>
        <w:pStyle w:val="FirstParagraph"/>
      </w:pPr>
      <w:r>
        <w:rPr>
          <w:rStyle w:val="VerbatimChar"/>
        </w:rPr>
        <w:t xml:space="preserve">init-sync --dry-run</w:t>
      </w:r>
      <w:r>
        <w:t xml:space="preserve"> </w:t>
      </w:r>
      <w:r>
        <w:t xml:space="preserve">prints the status-set/type/column-ORDER/label diff;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(sandbox list only) + the result-validation re-read asserting our</w:t>
      </w:r>
      <w:r>
        <w:t xml:space="preserve"> </w:t>
      </w:r>
      <w:r>
        <w:t xml:space="preserve">System's order. Requires P0 research landed. — Effort: L · Gate: dry-run</w:t>
      </w:r>
      <w:r>
        <w:t xml:space="preserve"> </w:t>
      </w:r>
      <w:r>
        <w:t xml:space="preserve">plan correctness + apply→validate on sandbox + paired mutation (wrong column</w:t>
      </w:r>
      <w:r>
        <w:t xml:space="preserve"> </w:t>
      </w:r>
      <w:r>
        <w:t xml:space="preserve">order → validation FAILs).</w:t>
      </w:r>
    </w:p>
    <w:bookmarkEnd w:id="13"/>
    <w:bookmarkStart w:id="14" w:name="p4--push--conflict-resolution"/>
    <w:p>
      <w:pPr>
        <w:pStyle w:val="Heading2"/>
      </w:pPr>
      <w:r>
        <w:t xml:space="preserve">P4 — push + conflict-resolution</w:t>
      </w:r>
    </w:p>
    <w:p>
      <w:pPr>
        <w:pStyle w:val="FirstParagraph"/>
      </w:pPr>
      <w:r>
        <w:rPr>
          <w:rStyle w:val="VerbatimChar"/>
        </w:rPr>
        <w:t xml:space="preserve">push</w:t>
      </w:r>
      <w:r>
        <w:t xml:space="preserve"> </w:t>
      </w:r>
      <w:r>
        <w:t xml:space="preserve">(DB/docs → ClickUp, sandbox); the echo-guard (</w:t>
      </w:r>
      <w:r>
        <w:rPr>
          <w:rStyle w:val="VerbatimChar"/>
        </w:rPr>
        <w:t xml:space="preserve">helix_sync_rev</w:t>
      </w:r>
      <w:r>
        <w:t xml:space="preserve">); the</w:t>
      </w:r>
      <w:r>
        <w:t xml:space="preserve"> </w:t>
      </w:r>
      <w:r>
        <w:t xml:space="preserve">§3.2</w:t>
      </w:r>
      <w:r>
        <w:t xml:space="preserve"> </w:t>
      </w:r>
      <w:r>
        <w:rPr>
          <w:rStyle w:val="VerbatimChar"/>
        </w:rPr>
        <w:t xml:space="preserve">resolve()</w:t>
      </w:r>
      <w:r>
        <w:t xml:space="preserve"> </w:t>
      </w:r>
      <w:r>
        <w:t xml:space="preserve">algorithm;</w:t>
      </w:r>
      <w:r>
        <w:t xml:space="preserve"> </w:t>
      </w:r>
      <w:r>
        <w:rPr>
          <w:rStyle w:val="VerbatimChar"/>
        </w:rPr>
        <w:t xml:space="preserve">bidirectional</w:t>
      </w:r>
      <w:r>
        <w:t xml:space="preserve"> </w:t>
      </w:r>
      <w:r>
        <w:t xml:space="preserve">single-pass; idempotency +</w:t>
      </w:r>
      <w:r>
        <w:t xml:space="preserve"> </w:t>
      </w:r>
      <w:r>
        <w:t xml:space="preserve">SQLite-txn atomicity. — Effort: XL · Gate: resolve()-truth-table unit</w:t>
      </w:r>
      <w:r>
        <w:t xml:space="preserve"> </w:t>
      </w:r>
      <w:r>
        <w:t xml:space="preserve">(paired-mutation cell-flip) + e2e push→edit-clickup→pull + concurrent-edit</w:t>
      </w:r>
      <w:r>
        <w:t xml:space="preserve"> </w:t>
      </w:r>
      <w:r>
        <w:t xml:space="preserve">true-conflict → operator-block (no data loss).</w:t>
      </w:r>
    </w:p>
    <w:bookmarkEnd w:id="14"/>
    <w:bookmarkStart w:id="15" w:name="p5--webhook--cron"/>
    <w:p>
      <w:pPr>
        <w:pStyle w:val="Heading2"/>
      </w:pPr>
      <w:r>
        <w:t xml:space="preserve">P5 — webhook + cron</w:t>
      </w:r>
    </w:p>
    <w:p>
      <w:pPr>
        <w:pStyle w:val="FirstParagraph"/>
      </w:pPr>
      <w:r>
        <w:rPr>
          <w:rStyle w:val="VerbatimChar"/>
        </w:rPr>
        <w:t xml:space="preserve">webhook-serve</w:t>
      </w:r>
      <w:r>
        <w:t xml:space="preserve"> </w:t>
      </w:r>
      <w:r>
        <w:t xml:space="preserve">(signature-verify, dedupe, SSRF-hardened, echo-guard) +</w:t>
      </w:r>
      <w:r>
        <w:t xml:space="preserve"> </w:t>
      </w:r>
      <w:r>
        <w:rPr>
          <w:rStyle w:val="VerbatimChar"/>
        </w:rPr>
        <w:t xml:space="preserve">self-sync</w:t>
      </w:r>
      <w:r>
        <w:t xml:space="preserve"> </w:t>
      </w:r>
      <w:r>
        <w:t xml:space="preserve">systemd-timer/cron backstop. Requires P0 webhook findings. —</w:t>
      </w:r>
      <w:r>
        <w:t xml:space="preserve"> </w:t>
      </w:r>
      <w:r>
        <w:t xml:space="preserve">Effort: L · Gate: signed-event integration + SSRF security test</w:t>
      </w:r>
      <w:r>
        <w:t xml:space="preserve"> </w:t>
      </w:r>
      <w:r>
        <w:t xml:space="preserve">(paired-mutation: drop guard → test FAILs) + replay-dedupe + cron sweep</w:t>
      </w:r>
      <w:r>
        <w:t xml:space="preserve"> </w:t>
      </w:r>
      <w:r>
        <w:t xml:space="preserve">repairs injected drift.</w:t>
      </w:r>
    </w:p>
    <w:bookmarkEnd w:id="15"/>
    <w:bookmarkStart w:id="16" w:name="p6--deleted-doc-class--docx-export"/>
    <w:p>
      <w:pPr>
        <w:pStyle w:val="Heading2"/>
      </w:pPr>
      <w:r>
        <w:t xml:space="preserve">P6 — Deleted-doc class + DOCX export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status (constitution §11.4.26 + §11.4.66 operator-gated</w:t>
      </w:r>
      <w:r>
        <w:t xml:space="preserve"> </w:t>
      </w:r>
      <w:r>
        <w:t xml:space="preserve">status-CHECK change),</w:t>
      </w:r>
      <w:r>
        <w:t xml:space="preserve"> </w:t>
      </w:r>
      <w:r>
        <w:rPr>
          <w:rStyle w:val="VerbatimChar"/>
        </w:rPr>
        <w:t xml:space="preserve">Deleted.md</w:t>
      </w:r>
      <w:r>
        <w:t xml:space="preserve">/</w:t>
      </w:r>
      <w:r>
        <w:rPr>
          <w:rStyle w:val="VerbatimChar"/>
        </w:rPr>
        <w:t xml:space="preserve">Deleted_Summary.md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## Deleted</w:t>
      </w:r>
      <w:r>
        <w:t xml:space="preserve"> </w:t>
      </w:r>
      <w:r>
        <w:t xml:space="preserve">bottom</w:t>
      </w:r>
      <w:r>
        <w:t xml:space="preserve"> </w:t>
      </w:r>
      <w:r>
        <w:t xml:space="preserve">sections, docs_chain PR-DC-1 (DOCX) + PR-DC-2 (Deleted class). Four-format</w:t>
      </w:r>
      <w:r>
        <w:t xml:space="preserve"> </w:t>
      </w:r>
      <w:r>
        <w:t xml:space="preserve">export Issues/Fixed/Deleted. — Effort: L · Gate: delete-anywhere →</w:t>
      </w:r>
      <w:r>
        <w:t xml:space="preserve"> </w:t>
      </w:r>
      <w:r>
        <w:t xml:space="preserve">Deleted-everywhere e2e + four-format export freshness + paired mutation.</w:t>
      </w:r>
    </w:p>
    <w:bookmarkEnd w:id="16"/>
    <w:bookmarkStart w:id="17" w:name="p7--full-bidirectional--reconcile"/>
    <w:p>
      <w:pPr>
        <w:pStyle w:val="Heading2"/>
      </w:pPr>
      <w:r>
        <w:t xml:space="preserve">P7 — full bidirectional + reconcile</w:t>
      </w:r>
    </w:p>
    <w:p>
      <w:pPr>
        <w:pStyle w:val="FirstParagraph"/>
      </w:pPr>
      <w:r>
        <w:rPr>
          <w:rStyle w:val="VerbatimChar"/>
        </w:rPr>
        <w:t xml:space="preserve">reconcile</w:t>
      </w:r>
      <w:r>
        <w:t xml:space="preserve"> </w:t>
      </w:r>
      <w:r>
        <w:t xml:space="preserve">full-sweep backstop; complete</w:t>
      </w:r>
      <w:r>
        <w:t xml:space="preserve"> </w:t>
      </w:r>
      <w:r>
        <w:rPr>
          <w:rStyle w:val="VerbatimChar"/>
        </w:rPr>
        <w:t xml:space="preserve">bidirectional</w:t>
      </w:r>
      <w:r>
        <w:t xml:space="preserve"> </w:t>
      </w:r>
      <w:r>
        <w:t xml:space="preserve">over the full item</w:t>
      </w:r>
      <w:r>
        <w:t xml:space="preserve"> </w:t>
      </w:r>
      <w:r>
        <w:t xml:space="preserve">set; the §3.3 transactional/replay guarantees end-to-end. — Effort: L ·</w:t>
      </w:r>
      <w:r>
        <w:t xml:space="preserve"> </w:t>
      </w:r>
      <w:r>
        <w:t xml:space="preserve">Gate: reconcile repairs every injected-drift class + idempotent-replay +</w:t>
      </w:r>
      <w:r>
        <w:t xml:space="preserve"> </w:t>
      </w:r>
      <w:r>
        <w:t xml:space="preserve">paired mutation.</w:t>
      </w:r>
    </w:p>
    <w:bookmarkEnd w:id="17"/>
    <w:bookmarkStart w:id="18" w:name="p8--100-tests--helixqa"/>
    <w:p>
      <w:pPr>
        <w:pStyle w:val="Heading2"/>
      </w:pPr>
      <w:r>
        <w:t xml:space="preserve">P8 — 100% tests + HelixQA</w:t>
      </w:r>
    </w:p>
    <w:p>
      <w:pPr>
        <w:pStyle w:val="FirstParagraph"/>
      </w:pPr>
      <w:r>
        <w:t xml:space="preserve">Complete the §7 matrix (unit/integration/e2e/stress/chaos/security/perf) +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clickup-sync</w:t>
      </w:r>
      <w:r>
        <w:t xml:space="preserve"> </w:t>
      </w:r>
      <w:r>
        <w:t xml:space="preserve">Challenge bank entry + an autonomous HelixQA session +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clickup-sync</w:t>
      </w:r>
      <w:r>
        <w:t xml:space="preserve"> </w:t>
      </w:r>
      <w:r>
        <w:t xml:space="preserve">skill + MCP server. All anti-bluff captured evidence. —</w:t>
      </w:r>
      <w:r>
        <w:t xml:space="preserve"> </w:t>
      </w:r>
      <w:r>
        <w:t xml:space="preserve">Effort: XL · Gate: full matrix green on sandbox + every gate paired-mutation</w:t>
      </w:r>
      <w:r>
        <w:t xml:space="preserve"> </w:t>
      </w:r>
      <w:r>
        <w:t xml:space="preserve">FAILs on negation + HelixQA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 </w:t>
      </w:r>
      <w:r>
        <w:t xml:space="preserve">PASS.</w:t>
      </w:r>
    </w:p>
    <w:bookmarkEnd w:id="18"/>
    <w:bookmarkStart w:id="19" w:name="p9--initial-real-sync-both-directions"/>
    <w:p>
      <w:pPr>
        <w:pStyle w:val="Heading2"/>
      </w:pPr>
      <w:r>
        <w:t xml:space="preserve">P9 — initial real sync both directions</w:t>
      </w:r>
    </w:p>
    <w:p>
      <w:pPr>
        <w:pStyle w:val="FirstParagraph"/>
      </w:pPr>
      <w:r>
        <w:t xml:space="preserve">FIRST real (non-dry-run) production sync — operator-authorized only. Pre-op</w:t>
      </w:r>
      <w:r>
        <w:t xml:space="preserve"> </w:t>
      </w:r>
      <w:r>
        <w:t xml:space="preserve">§9.2 hardlinked DB backup;</w:t>
      </w:r>
      <w:r>
        <w:t xml:space="preserve"> </w:t>
      </w:r>
      <w:r>
        <w:rPr>
          <w:rStyle w:val="VerbatimChar"/>
        </w:rPr>
        <w:t xml:space="preserve">init-sync --apply</w:t>
      </w:r>
      <w:r>
        <w:t xml:space="preserve"> </w:t>
      </w:r>
      <w:r>
        <w:t xml:space="preserve">on the real list; one</w:t>
      </w:r>
      <w:r>
        <w:t xml:space="preserve"> </w:t>
      </w:r>
      <w:r>
        <w:t xml:space="preserve">supervised</w:t>
      </w:r>
      <w:r>
        <w:t xml:space="preserve"> </w:t>
      </w:r>
      <w:r>
        <w:rPr>
          <w:rStyle w:val="VerbatimChar"/>
        </w:rPr>
        <w:t xml:space="preserve">bidirectional</w:t>
      </w:r>
      <w:r>
        <w:t xml:space="preserve">; then</w:t>
      </w:r>
      <w:r>
        <w:t xml:space="preserve"> </w:t>
      </w:r>
      <w:r>
        <w:rPr>
          <w:rStyle w:val="VerbatimChar"/>
        </w:rPr>
        <w:t xml:space="preserve">self-sync</w:t>
      </w:r>
      <w:r>
        <w:t xml:space="preserve"> </w:t>
      </w:r>
      <w:r>
        <w:t xml:space="preserve">cron enabled. — Effort: M ·</w:t>
      </w:r>
      <w:r>
        <w:t xml:space="preserve"> </w:t>
      </w:r>
      <w:r>
        <w:t xml:space="preserve">Gate: post-sync reconcile reports zero drift + captured evidence + operator</w:t>
      </w:r>
      <w:r>
        <w:t xml:space="preserve"> </w:t>
      </w:r>
      <w:r>
        <w:t xml:space="preserve">sign-off.</w:t>
      </w:r>
    </w:p>
    <w:p>
      <w:r>
        <w:pict>
          <v:rect style="width:0;height:1.5pt" o:hralign="center" o:hrstd="t" o:hr="t"/>
        </w:pict>
      </w:r>
    </w:p>
    <w:bookmarkEnd w:id="19"/>
    <w:bookmarkStart w:id="20" w:name="per-phase-4-layer-gate-template-1144b"/>
    <w:p>
      <w:pPr>
        <w:pStyle w:val="Heading2"/>
      </w:pPr>
      <w:r>
        <w:t xml:space="preserve">Per-phase 4-layer gate template (§11.4.4(b))</w:t>
      </w:r>
    </w:p>
    <w:p>
      <w:pPr>
        <w:pStyle w:val="Compact"/>
        <w:numPr>
          <w:ilvl w:val="0"/>
          <w:numId w:val="1001"/>
        </w:numPr>
      </w:pPr>
      <w:r>
        <w:t xml:space="preserve">pre-build/CI gate (config/contract assertions, SKIP-with-reason when</w:t>
      </w:r>
      <w:r>
        <w:t xml:space="preserve"> </w:t>
      </w:r>
      <w:r>
        <w:rPr>
          <w:rStyle w:val="VerbatimChar"/>
        </w:rPr>
        <w:t xml:space="preserve">CLICKUP_*</w:t>
      </w:r>
      <w:r>
        <w:t xml:space="preserve"> </w:t>
      </w:r>
      <w:r>
        <w:t xml:space="preserve">unset per §11.4.96).</w:t>
      </w:r>
    </w:p>
    <w:p>
      <w:pPr>
        <w:pStyle w:val="Compact"/>
        <w:numPr>
          <w:ilvl w:val="0"/>
          <w:numId w:val="1001"/>
        </w:numPr>
      </w:pPr>
      <w:r>
        <w:t xml:space="preserve">autonomous test (unit/integration/e2e against sandbox/fixture, captured</w:t>
      </w:r>
      <w:r>
        <w:t xml:space="preserve"> </w:t>
      </w:r>
      <w:r>
        <w:t xml:space="preserve">evidence under</w:t>
      </w:r>
      <w:r>
        <w:t xml:space="preserve"> </w:t>
      </w:r>
      <w:r>
        <w:rPr>
          <w:rStyle w:val="VerbatimChar"/>
        </w:rPr>
        <w:t xml:space="preserve">qa-results/clickup_sync/&lt;run-id&gt;/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paired §1.1 meta-test mutation (negate the invariant → gate FAILs).</w:t>
      </w:r>
    </w:p>
    <w:p>
      <w:pPr>
        <w:pStyle w:val="Compact"/>
        <w:numPr>
          <w:ilvl w:val="0"/>
          <w:numId w:val="1001"/>
        </w:numPr>
      </w:pPr>
      <w:r>
        <w:t xml:space="preserve">HelixQA Challenge (P8+, user-visible surface).</w:t>
      </w:r>
    </w:p>
    <w:p>
      <w:pPr>
        <w:pStyle w:val="FirstParagraph"/>
      </w:pPr>
      <w:r>
        <w:t xml:space="preserve">NO force-push at any phase (§11.4.113). Every commit multi-upstream</w:t>
      </w:r>
      <w:r>
        <w:t xml:space="preserve"> </w:t>
      </w:r>
      <w:r>
        <w:t xml:space="preserve">(§2.1). docs four-format-synced (§11.4.65 + DOCX).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</dc:title>
  <dc:creator/>
  <dc:language>en</dc:language>
  <cp:keywords/>
  <dcterms:created xsi:type="dcterms:W3CDTF">2026-06-09T15:04:37Z</dcterms:created>
  <dcterms:modified xsi:type="dcterms:W3CDTF">2026-06-09T15:04:37Z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