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default-issue</w:t>
      </w:r>
    </w:p>
    <w:p>
      <w:pPr>
        <w:pStyle w:val="FirstParagraph"/>
      </w:pPr>
      <w:r>
        <w:t xml:space="preserve">REPORT DIRECTIVE — ISSUE (§11.4.202). The remainder of this prompt is a GENERIC REPORT of something trackable. It MUST be turned into a real, fully-populated workable item — never merely acknowledged, never silently dropped. FIRST classify it into the §11.4.16 CLOSED type set —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(product defect / regression / user-visible broken behaviour),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(a new end-user capability), or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(internal workstream — refactor / doc / infra / gate / audit). There is NO fourth type and NO "issue" type: inventing one is a §11.4.16 violation. Classify from the report's own content, stated as FACT (§11.4.6 — never a guess). If the content does NOT determine the type, ASK the operator which of the three it is (§11.4.66 / §11.4.105) BEFORE creating the item. If — and only if — running autonomously where asking is impossible (§11.4.101), create it with the §11.4.16 lowest-stakes ambiguity default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 record the literal</w:t>
      </w:r>
      <w:r>
        <w:t xml:space="preserve"> </w:t>
      </w:r>
      <w:r>
        <w:rPr>
          <w:rStyle w:val="VerbatimChar"/>
        </w:rPr>
        <w:t xml:space="preserve">Classification: defaulted-to-Task (§11.4.16 ambiguity default — reclassify)</w:t>
      </w:r>
      <w:r>
        <w:t xml:space="preserve"> </w:t>
      </w:r>
      <w:r>
        <w:t xml:space="preserve">inside the item's description, and surface the reclassification command to the operator; NEVER silently assert a type the report does not support. THEN create it through the project's reporting engine (</w:t>
      </w:r>
      <w:r>
        <w:rPr>
          <w:rStyle w:val="VerbatimChar"/>
        </w:rPr>
        <w:t xml:space="preserve">constitution/scripts/reporting/report_item.sh --kind issue --type &lt;Bug|Feature|Task&gt; --title &lt;t&gt; --report &lt;text&gt;</w:t>
      </w:r>
      <w:r>
        <w:t xml:space="preserve">), which creates the item in the workable-items SQLite single-source-of-truth (§11.4.93 / §11.4.95 / §11.4.54) with the §11.4.148 / §11.4.171 comprehensive structured description, then regenerates EVERY derived document from the DB (§11.4.12 / §11.4.53 / §11.4.65 / §11.4.106) and pushes to EVERY configured external tracker (§11.4.148 D5) — SKIPPING with an honest reason any tracker whose credentials / client are absent (§11.4.10 / §11.4.6 / §11.4.3), NEVER faking a push. Report back the assigned ticket id + the chosen type + the sync verdict + each tracker's verdict with its captured-evidence path (§11.4.5 / §11.4.69).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default-issue</dc:title>
  <dc:creator/>
  <dc:language>en</dc:language>
  <cp:keywords/>
  <dcterms:created xsi:type="dcterms:W3CDTF">2026-07-18T06:53:15Z</dcterms:created>
  <dcterms:modified xsi:type="dcterms:W3CDTF">2026-07-18T06:53:15Z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