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important</w:t>
      </w:r>
    </w:p>
    <w:p>
      <w:pPr>
        <w:pStyle w:val="FirstParagraph"/>
      </w:pPr>
      <w:r>
        <w:t xml:space="preserve">IMPORTANT — treat the remainder of this prompt as HIGH-PRIORITY: prioritize it ABOVE routine work (but BELOW a CRITICAL / release-blocking matter) per the §11.4.42 / §11.4.72 / §11.4.132 priority order. Track it as a workable item so it is never lost — when it is a reportable defect / task / feature, route it through the §11.4.202 BUG / TASK / ISSUE machinery (§11.4.197 a started requirement never evaporates). Apply the full §11.4 anti-bluff covenant — every claim carries captured physical evidence (§11.4.5 / §11.4.69 / §11.4.107), never a metadata-only / absence-of-error PASS. THEN handle the remainder of the prompt as that high-priority matter.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important</dc:title>
  <dc:creator/>
  <dc:language>en</dc:language>
  <cp:keywords/>
  <dcterms:created xsi:type="dcterms:W3CDTF">2026-07-18T06:53:18Z</dcterms:created>
  <dcterms:modified xsi:type="dcterms:W3CDTF">2026-07-18T06:53:18Z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