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feature</w:t>
      </w:r>
    </w:p>
    <w:p>
      <w:pPr>
        <w:pStyle w:val="FirstParagraph"/>
      </w:pPr>
      <w:r>
        <w:t xml:space="preserve">RESEARCH-SCHEDULING DIRECTIVE — FEATURE (§11.4.213). The remainder of this prompt DESCRIBES a feature to research and plan. It MUST be turned into a real, fully-populated, fully-synced workable item — never merely acknowledged, never silently dropped (§11.4.202 / §11.4.197). Unlike BUG / TASK / ISSUE, FEATURE SCHEDULES rather than synchronously executes: create the item NOW through the project's feature-scheduling engine (</w:t>
      </w:r>
      <w:r>
        <w:rPr>
          <w:rStyle w:val="VerbatimChar"/>
        </w:rPr>
        <w:t xml:space="preserve">constitution/scripts/feature/schedule_feature_research.sh --description &lt;text&gt;</w:t>
      </w:r>
      <w:r>
        <w:t xml:space="preserve">), which (1) creates a Type=Task + Status=Queued workable item with a stable auto-incremented ticket id in the workable-items SQLite single-source-of-truth (§11.4.93 / §11.4.95 / §11.4.54) — by INVOKING the SAME §11.4.202</w:t>
      </w:r>
      <w:r>
        <w:t xml:space="preserve"> </w:t>
      </w:r>
      <w:r>
        <w:rPr>
          <w:rStyle w:val="VerbatimChar"/>
        </w:rPr>
        <w:t xml:space="preserve">report_item.sh</w:t>
      </w:r>
      <w:r>
        <w:t xml:space="preserve"> </w:t>
      </w:r>
      <w:r>
        <w:t xml:space="preserve">engine, never a duplicate implementation — whose §11.4.148 / §11.4.171 comprehensive description embeds the full research-and-planning WORK PROGRAM verbatim: (a) deep web research (articles / guides / scientific papers / open-source codebases / examples) on the best way to incorporate this feature (§11.4.8 / §11.4.99 / §11.4.150); (b) systematic-debug (§11.4.102) of ALL data obtained to enumerate EVERY weak spot / gap / danger-zone / inconsistency / imperfection and design a risk-free rock-solid solution for EACH one; (c) ALWAYS enterprise-grade, bleeding-edge, innovative — never less; (d) MANDATORY exhaustive documentation — plans down to lines-of-code + micro-POCs, diagrams, illustrations, SQL definitions, templates, every relevant material (§11.4.65 / §11.4.73); (e) investigate + plan REUSE of existing vasic-digital / HelixDevelopment submodules/components BEFORE proposing a rewrite, extending them freely while keeping them decoupled / reusable (§11.4.28 / §11.4.74 / §11.4.177); (f) plan from the TESTING point of view — every supported test type + Challenges + full HelixQA bank coverage (§11.4.27 / §11.4.169); (g) divide into fine-grained, nano-detailed phases / tasks / subtasks ready to drive integration / implementation / wiring / testing / scaling; (h) plan for enterprise scalability + maximal performance; (i) when there is a UI/UX surface, produce full wireframes / diagrams / design files authored via OpenDesign (§11.4.162 / §11.4.190); (j) plan full CodeGraph integration with regular/real-time index sync (§11.4.78 / §11.4.79 / §11.4.80); (k) create fully-detailed follow-on workable items synced in REAL TIME to the SQLite SSoT + every derived document + every connected external tracker (§11.4.148 D5), honestly SKIPPING any absent tracker (§11.4.10) — NEVER a faked push. (2) enqueues the item in the durable</w:t>
      </w:r>
      <w:r>
        <w:t xml:space="preserve"> </w:t>
      </w:r>
      <w:r>
        <w:rPr>
          <w:rStyle w:val="VerbatimChar"/>
        </w:rPr>
        <w:t xml:space="preserve">docs/requests/feature_queue.md</w:t>
      </w:r>
      <w:r>
        <w:t xml:space="preserve"> </w:t>
      </w:r>
      <w:r>
        <w:t xml:space="preserve">queue so it can NEVER be silently dropped or forgotten (mirrors the BACKGROUND durable queue, §11.4.140); (3) regenerates every derived document from the DB (§11.4.12 / §11.4.53 / §11.4.65 / §11.4.106) and pushes to every configured external tracker exactly as §11.4.202 does. Report back the assigned ticket id, the research-doc destination path, the sync verdict, and each tracker's verdict with its captured-evidence path (§11.4.5 / §11.4.69). THEN — the scheduled research/planning/documentation work itself is EXECUTED LATER by the standing autonomous loop (§11.4.87 / §11.4.94 / §11.4.97 / §11.4.103 / §11.4.126) when it claims the item, driven to a genuinely COMPLETED-and-wired or explicitly evidence-backed CLOSED terminal state under §11.4.197 — it is NEVER performed synchronously inline by this directive, and NEVER left un-wired in the backlog.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feature</dc:title>
  <dc:creator/>
  <dc:description>SCHEDULE (never synchronously run) a deep, enterprise-grade research + implementation-planning effort on a described feature as a tracked workable item — the multi-day research itself is performed later by the autonomous loop, not by this directive.</dc:description>
  <dc:language>en</dc:language>
  <cp:keywords/>
  <dcterms:created xsi:type="dcterms:W3CDTF">2026-07-18T06:54:29Z</dcterms:created>
  <dcterms:modified xsi:type="dcterms:W3CDTF">2026-07-18T06:54:29Z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