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helix-constitution-universal-qwen.md"/>
    <w:p>
      <w:pPr>
        <w:pStyle w:val="Heading1"/>
      </w:pPr>
      <w:r>
        <w:t xml:space="preserve">Helix Constitution — Universal QWEN.md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29</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2026-06-15T00:00:00Z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helix_translate-1.0.0-dev-0.0.1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w:t>
      </w:r>
      <w:r>
        <w:t xml:space="preserve"> </w:t>
      </w:r>
      <w:r>
        <w:t xml:space="preserve">“Qwen-lite”</w:t>
      </w:r>
      <w:r>
        <w:t xml:space="preserve"> </w:t>
      </w:r>
      <w:r>
        <w:t xml:space="preserve">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a6b2eb94242a8dedfceeefa07a20f61d07ee811"/>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w:t>
      </w:r>
      <w:r>
        <w:t xml:space="preserve"> </w:t>
      </w:r>
      <w:r>
        <w:t xml:space="preserve">“absence-of-error”</w:t>
      </w:r>
      <w:r>
        <w:t xml:space="preserve"> </w:t>
      </w:r>
      <w:r>
        <w:t xml:space="preserve">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mutation-paired-gates"/>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credentials-handling-mandate"/>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universal-vs-project-classification"/>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subagent-driven-by-default"/>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a81927e1c7deba4518d3c7c6a49ec1210333e29"/>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w:t>
      </w:r>
      <w:r>
        <w:t xml:space="preserve"> </w:t>
      </w:r>
      <w:r>
        <w:t xml:space="preserve">“spec ripple”</w:t>
      </w:r>
      <w:r>
        <w:t xml:space="preserve"> </w:t>
      </w:r>
      <w:r>
        <w:t xml:space="preserve">rule).</w:t>
      </w:r>
    </w:p>
    <w:bookmarkEnd w:id="18"/>
    <w:bookmarkStart w:id="20" w:name="X43cb337a893598d95d5746daf1437a9a2c02f01"/>
    <w:p>
      <w:pPr>
        <w:pStyle w:val="Heading3"/>
      </w:pPr>
      <w:r>
        <w:t xml:space="preserve">§11.4.74 — Submodule-catalogue-first discovery + extend-don’t-reimplement</w:t>
      </w:r>
    </w:p>
    <w:p>
      <w:pPr>
        <w:pStyle w:val="FirstParagraph"/>
      </w:pPr>
      <w:r>
        <w:t xml:space="preserve">Direct user mandate (verbatim, 2026-05-20):</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containers-submodule-mandate"/>
    <w:p>
      <w:pPr>
        <w:pStyle w:val="Heading3"/>
      </w:pPr>
      <w:r>
        <w:t xml:space="preserve">§11.4.76 — Containers-submodule mandate</w:t>
      </w:r>
    </w:p>
    <w:p>
      <w:pPr>
        <w:pStyle w:val="FirstParagraph"/>
      </w:pPr>
      <w:r>
        <w:t xml:space="preserve">Direct user mandate (verbatim, 2026-05-20):</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regeneration-mechanism-required-mandate"/>
    <w:p>
      <w:pPr>
        <w:pStyle w:val="Heading3"/>
      </w:pPr>
      <w:r>
        <w:t xml:space="preserve">§11.4.77 — Regeneration-mechanism-required mandate</w:t>
      </w:r>
    </w:p>
    <w:p>
      <w:pPr>
        <w:pStyle w:val="FirstParagraph"/>
      </w:pPr>
      <w:r>
        <w:t xml:space="preserve">Direct user mandate (verbatim, 2026-05-20):</w:t>
      </w:r>
      <w:r>
        <w:t xml:space="preserve"> </w:t>
      </w: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codegraph-code-intelligence-mandate"/>
    <w:p>
      <w:pPr>
        <w:pStyle w:val="Heading3"/>
      </w:pPr>
      <w:r>
        <w:t xml:space="preserve">§11.4.78 — CodeGraph code-intelligence mandate</w:t>
      </w:r>
    </w:p>
    <w:p>
      <w:pPr>
        <w:pStyle w:val="FirstParagraph"/>
      </w:pPr>
      <w:r>
        <w:t xml:space="preserve">Direct user mandate (verbatim, 2026-05-20):</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c5588010ea8f074747d7c542b66a8a0ee1540c5"/>
    <w:p>
      <w:pPr>
        <w:pStyle w:val="Heading3"/>
      </w:pPr>
      <w:r>
        <w:t xml:space="preserve">§11.4.79 — Own-org submodules MUST be included in the CodeGraph index</w:t>
      </w:r>
    </w:p>
    <w:p>
      <w:pPr>
        <w:pStyle w:val="FirstParagraph"/>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bb807a956e31b63c6082b4332087b163b347d3c"/>
    <w:p>
      <w:pPr>
        <w:pStyle w:val="Heading3"/>
      </w:pPr>
      <w:r>
        <w:t xml:space="preserve">§11.4.80 — CodeGraph regular-update + sync automation mandate</w:t>
      </w:r>
    </w:p>
    <w:p>
      <w:pPr>
        <w:pStyle w:val="FirstParagraph"/>
      </w:pPr>
      <w:r>
        <w:t xml:space="preserve">Direct user mandate (verbatim, 2026-05-21):</w:t>
      </w:r>
      <w:r>
        <w:t xml:space="preserve"> </w:t>
      </w:r>
      <w:r>
        <w:t xml:space="preserve">“We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39c97fcba51dbf86c5b093cd3182acc0df67fc3"/>
    <w:p>
      <w:pPr>
        <w:pStyle w:val="Heading3"/>
      </w:pPr>
      <w:r>
        <w:t xml:space="preserve">§11.4.81 — Cross-platform-parity mandate (User mandate, 2026-05-21)</w:t>
      </w:r>
    </w:p>
    <w:p>
      <w:pPr>
        <w:pStyle w:val="FirstParagraph"/>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2db9ae1e25b1857e409874b78a8e886a8cd157d"/>
    <w:p>
      <w:pPr>
        <w:pStyle w:val="Heading3"/>
      </w:pPr>
      <w:r>
        <w:t xml:space="preserve">§11.4.82 — Iteration-speedup discipline mandate (User mandate, 2026-05-22)</w:t>
      </w:r>
    </w:p>
    <w:p>
      <w:pPr>
        <w:pStyle w:val="FirstParagraph"/>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c0e547589a000b4ff39571fc9bf04c5a5725fe1"/>
    <w:p>
      <w:pPr>
        <w:pStyle w:val="Heading3"/>
      </w:pPr>
      <w:r>
        <w:t xml:space="preserve">§11.4.83 — docs/qa/ end-user evidence mandate (User mandate, 2026-05-22)</w:t>
      </w:r>
    </w:p>
    <w:p>
      <w:pPr>
        <w:pStyle w:val="FirstParagraph"/>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beb0efc2c3abd7eb7ae074a5af6676909926193"/>
    <w:p>
      <w:pPr>
        <w:pStyle w:val="Heading3"/>
      </w:pPr>
      <w:r>
        <w:t xml:space="preserve">§11.4.86 — Roster/corpus-backed Status-doc auto-sync mandate (User mandate, 2026-05-25)</w:t>
      </w:r>
    </w:p>
    <w:p>
      <w:pPr>
        <w:pStyle w:val="FirstParagraph"/>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(audio/video/network/UI/sysfs)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5"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bcc89827410d6fac484d6c21893a5d8f1736639"/>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e44cf56aea2de78400682829e74ef88f1eaaafb"/>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b49e989674742ffeb552ccbabd75b6229ac8ecf"/>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306c1e41a0dcfa32bec223fb2c54b181785d505"/>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480fa20498a53dea02a88d325e21f6337629bc3"/>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1bad886eb1e73a22a104a980dd26e06bcd7e10d"/>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816e02b22ba8f7de703aa5793d40e899b0c4afb"/>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d45437dcc5bfc87d54265b9ea50754944ceee51"/>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w:t>
      </w:r>
      <w:r>
        <w:t xml:space="preserve"> </w:t>
      </w:r>
      <w:r>
        <w:t xml:space="preserve">“Build running, nothing else to do”</w:t>
      </w:r>
      <w:r>
        <w:t xml:space="preserve"> </w:t>
      </w:r>
      <w:r>
        <w:t xml:space="preserve">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299b3e34b4de70e7475be43a7e5af7c1fbd1ec5"/>
    <w:p>
      <w:pPr>
        <w:pStyle w:val="Heading3"/>
      </w:pPr>
      <w:r>
        <w:t xml:space="preserve">§11.4.97 — Max-use-of-idle + progress-update cadence (User mandate, 2026-05-27)</w:t>
      </w:r>
    </w:p>
    <w:p>
      <w:pPr>
        <w:pStyle w:val="Compact"/>
        <w:numPr>
          <w:ilvl w:val="0"/>
          <w:numId w:val="1008"/>
        </w:numPr>
      </w:pPr>
      <w:r>
        <w:t xml:space="preserve">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e71d8a3207d3153fbfa6d5d128440b2f5764815"/>
    <w:p>
      <w:pPr>
        <w:pStyle w:val="Heading3"/>
      </w:pPr>
      <w:r>
        <w:t xml:space="preserve">§11.4.98 — Full-Automation Anti-Bluff (User mandate, 2026-05-28)</w:t>
      </w:r>
    </w:p>
    <w:p>
      <w:pPr>
        <w:pStyle w:val="FirstParagraph"/>
      </w:pPr>
      <w:r>
        <w:t xml:space="preserve">Forensic anchor:</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w:t>
      </w:r>
      <w:r>
        <w:t xml:space="preserve"> </w:t>
      </w:r>
      <w:r>
        <w:t xml:space="preserve">“operator MUST type”</w:t>
      </w:r>
      <w:r>
        <w:t xml:space="preserve"> </w:t>
      </w:r>
      <w:r>
        <w:t xml:space="preserve">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cf62896818ce617be832d801d37eda692d1b51b"/>
    <w:p>
      <w:pPr>
        <w:pStyle w:val="Heading3"/>
      </w:pPr>
      <w:r>
        <w:t xml:space="preserve">§11.4.99 — Latest-Source Documentation Cross-Reference (User mandate, 2026-05-28)</w:t>
      </w:r>
    </w:p>
    <w:p>
      <w:pPr>
        <w:pStyle w:val="FirstParagraph"/>
      </w:pPr>
      <w:r>
        <w:t xml:space="preserve">Forensic:</w:t>
      </w:r>
      <w:r>
        <w:t xml:space="preserve"> </w:t>
      </w:r>
      <w:r>
        <w:t xml:space="preserve">“ALWAYS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Compact"/>
        <w:numPr>
          <w:ilvl w:val="0"/>
          <w:numId w:val="1009"/>
        </w:numPr>
      </w:pPr>
      <w:r>
        <w:t xml:space="preserve">Pre-commit cross-reference: fetch LATEST official online docs (WebFetch/MCP/direct browsing — NEVER training data) for every operator-facing instruction doc; cite source URL+date in</w:t>
      </w:r>
      <w:r>
        <w:t xml:space="preserve"> </w:t>
      </w:r>
      <w:r>
        <w:t xml:space="preserve">“## Sources verified”</w:t>
      </w:r>
      <w:r>
        <w:t xml:space="preserve"> </w:t>
      </w:r>
      <w:r>
        <w:t xml:space="preserve">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49"/>
    <w:bookmarkStart w:id="50" w:name="X4d118e17e751cb8cac10d9c1690882a2a1aff4f"/>
    <w:p>
      <w:pPr>
        <w:pStyle w:val="Heading3"/>
      </w:pPr>
      <w:r>
        <w:t xml:space="preserve">§11.4.101 — Autonomous-decision-over-blocking (User mandate, 2026-05-28)</w:t>
      </w:r>
    </w:p>
    <w:p>
      <w:pPr>
        <w:pStyle w:val="FirstParagraph"/>
      </w:pPr>
      <w:r>
        <w:t xml:space="preserve">Forensic:</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eb42254ed66bfbc21f0ec2633af5b09969e21ad"/>
    <w:p>
      <w:pPr>
        <w:pStyle w:val="Heading3"/>
      </w:pPr>
      <w:r>
        <w:t xml:space="preserve">§11.4.102 — Systematic-debugging always-on + always-loaded skill-discovery + plugin availability (User mandate, 2026-05-29)</w:t>
      </w:r>
    </w:p>
    <w:p>
      <w:pPr>
        <w:pStyle w:val="FirstParagraph"/>
      </w:pPr>
      <w:r>
        <w:t xml:space="preserve">Forensic:</w:t>
      </w:r>
      <w:r>
        <w:t xml:space="preserve"> </w:t>
      </w:r>
      <w:r>
        <w:t xml:space="preserve">“ALWAYS trigger / start the”</w:t>
      </w:r>
      <w:r>
        <w:t xml:space="preserve">/superpowers:systematic-debugging” skills when any issues happen! … we MUST activate the skill(s) and make strongest efforts in full in depth analisys / debugging and determine root causes …</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Compact"/>
        <w:numPr>
          <w:ilvl w:val="0"/>
          <w:numId w:val="1010"/>
        </w:numPr>
      </w:pPr>
      <w:r>
        <w:t xml:space="preserve">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w:t>
      </w:r>
      <w:r>
        <w:t xml:space="preserve">“probably transient/flaky”</w:t>
      </w:r>
      <w:r>
        <w:t xml:space="preserve">)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5d6bb964ec6a196e3a5c7fe62755c95e5623c22"/>
    <w:p>
      <w:pPr>
        <w:pStyle w:val="Heading3"/>
      </w:pPr>
      <w:r>
        <w:t xml:space="preserve">§11.4.103 — Continuous parallel-stream working routine (User mandate, 2026-05-29)</w:t>
      </w:r>
    </w:p>
    <w:p>
      <w:pPr>
        <w:pStyle w:val="FirstParagraph"/>
      </w:pPr>
      <w:r>
        <w:t xml:space="preserve">Forensic:</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d24df30d6391ab7d2b09a4fd21b75706060cc14"/>
    <w:p>
      <w:pPr>
        <w:pStyle w:val="Heading3"/>
      </w:pPr>
      <w:r>
        <w:t xml:space="preserve">§11.4.104 — Participant identity, attribution &amp; notification-tagging (User mandate, 2026-05-31)</w:t>
      </w:r>
    </w:p>
    <w:p>
      <w:pPr>
        <w:pStyle w:val="FirstParagraph"/>
      </w:pPr>
      <w:r>
        <w:t xml:space="preserve">Forensic:</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8f09e8cf981950dc26b9d77520ea0b7b8658da6"/>
    <w:p>
      <w:pPr>
        <w:pStyle w:val="Heading3"/>
      </w:pPr>
      <w:r>
        <w:t xml:space="preserve">§11.4.105 — Natural-language intent recognition &amp; clarification (User mandate, 2026-05-31)</w:t>
      </w:r>
    </w:p>
    <w:p>
      <w:pPr>
        <w:pStyle w:val="FirstParagraph"/>
      </w:pPr>
      <w:r>
        <w:t xml:space="preserve">Forensic:</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ffe037c34de267efaf1988a18b50af42074f279"/>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2026-06-16T11:34:22Z</dcterms:created>
  <dcterms:modified xsi:type="dcterms:W3CDTF">2026-06-16T11:34:22Z</dcterms:modified>
</cp:coreProperties>
</file>

<file path=docProps/custom.xml><?xml version="1.0" encoding="utf-8"?>
<Properties xmlns="http://schemas.openxmlformats.org/officeDocument/2006/custom-properties" xmlns:vt="http://schemas.openxmlformats.org/officeDocument/2006/docPropsVTypes"/>
</file>