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2026-07-23T10:55:33Z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2026-07-23 — the REOPEN/FIRST-TOUCH ROOT-CAUSE harvest (operator mandate 2026-07-23, verbatim: "All checks, all experience we gain from this comprehensive work about issues we are seeking, digging, systhematically debugging and researching and all preventive measures we will take (with all methods we have taken to diagnose, analyse and determine things) MUST BE added itno the constituion Submodule as mandatory steps, guidelines, rules and mandatory contraints to follow, respect and apply during regular development cycles and to check for through all code review processes we perform!"; research inputs already committed at 76e29d5: docs/research/quality/ — ROOT_CAUSE_ANALYSIS PC-1..PC-9 + MU-1..MU-6 + M1..M19, EXTERNAL_RESEARCH (76 sources), two cross-project corpora, solutions SOL-01..SOL-10 with RED-first POCs 65/65 GREEN on a deterministic second iteration). 2 NEW anchors + 1 EXTENSION + the remainder resolved ALREADY-COVERED (cited, never duplicated — the audit that prevents a §11.4.54-class re-mint). NEW §11.4.226 — evidence-class-at-closure + standing detection pressure: machinery presence does NOT predict whether a fix holds — the EVIDENCE CLASS at closure (runtime vs source) under real DETECTION PRESSURE does, prose does not bind, seams do; closed evidence-class ranking {runtime &gt; artifact &gt; source} with a per-defect-layer floor at every closure seam, class proven by MACHINE FIELDS never a label, the ANTI-ECHO rule (a grep-transcript "runtime observable" is WRONG-LAYER), per-status evidence preconditions (FACT: a "ready"-class status parked 42% of the done-claiming population as never-verified — the set the operator sampled 6/6 broken), fix-kind honesty (a state-only repair/mitigation cannot close a defect as fixed), and a per-guard FRESHNESS CONTRACT feeding a standing risk-ordered re-run queue (most-reopened-first §11.4.189) drained by the zero-idle loop — the §11.4.135 release seam is the backstop, never the only executor (FACT: two standing guards, finally executed during the forensics, immediately emitted the latent FAILs; the positive control: every RED→GREEN-flip closure held with zero reopens, every source-green closure bounced; cross-corpus 52% recorded-undercount vs ~0.3% + median attempts-to-stick 1). NEW §11.4.227 — governance-corpus self-custody: the rule corpus is bound by the same custody it imposes (measured on THIS corpus 2026-07-22: 413 named CM-* gates, 241 = 58% unimplemented in the canonical gate sites, 85 literal gate-code deferrals; the custody seam designed 07-17 still prose on 07-22; the propagation-gate family asserts literal-presence &gt;= 1, rewarding restatement over implementation — the corpus measures its health in words present so it grows words); (A) named-gate LEDGER — every CM-* token implemented-or-registered-deferral-with-tracked-item, unimplemented count MONOTONE-DECREASING, vanished names need removal citations (the metric-gaming channel closed), an anchor's done state is its SEAM landing not its TEXT landing; (B) anchor-block INTEGRITY — propagation gates count BLOCK-STARTS never bare literals: exactly-once per anchor per file (&gt;1 = the F7 duplication class), lockstep content-hash equality across the mirror set, carriers never count, zero-blocks = BLIND, anchor-number collisions FAIL (the live §11.4.140/§11.4.141 double-mandate collision independently re-detected — resolution stays operator-owned), dotted sub-anchors never prefix-match parents; (C) semantic inter-anchor contradiction stays honest review territory. EXTENSION §11.4.194(6) — the quality-harvest review classes: every code-review additionally CHECKS (a) closure-evidence class vs defect layer, (b) needled measurements + counts-are-leads-lines-are-findings, (c) governance-and-gate integrity per §11.4.227, (d) reviewer-authored adversarial mutations (FACT: an author's six self-authored mutations all caught while an independent reviewer's first three different mutations all sailed through, each restoring a user-visible defect — the reviewer MUST attempt &gt;= 1 mutation the author did not write). ALREADY-COVERED (cited, not duplicated): status custody -&gt; §11.4.146(D3); verdict coverage/PENDING-blocks -&gt; §11.4.135; source-green-is-not-done -&gt; §11.4.108; instrument traps + control needle + measurement semantics -&gt; §11.4.201(6)-(12) + the shell-footguns standing reference; recurrence dedup -&gt; §11.4.214; inherited-premise decay -&gt; §11.4.205(4); verdict scope leak -&gt; §11.4.112(5); wrong-seam gates -&gt; §11.4.120; systematic-debugging activation -&gt; §11.4.102; exact repro -&gt; §11.4.199; review-before-build family -&gt; §11.4.125/.142/.194/.209/.134; the operator's on-pull apply-and-clear requirement -&gt; AUDITED as already bound by §11.4.32 (post-constitution-pull validation sweep with tracked FAIL entries) + §11.4.164 (auto-propagation hook) — both new anchors cite that binding explicitly instead of inventing a parallel mechanism. Honest gaps stated per §11.4.6: SOL-08 workspace commit-to-tracker scope-coverage NOT minted as an anchor (a universal "trackable commit" definition is a §11.4.66 operator decision; the proven POC remains a tracked §11.4.197 item); SOL-10 is gate-code for EXISTING anchors (§11.4.205(4)/§11.4.112(5)/§11.4.120), not a new rule; the §11.4.140/141 collision re-mint + the coverage-floor adoption remain operator-owned decisions; the governance-context crowding effect stays UNKNOWN (unmeasured — no anchor minted on it, §11.4.6); gate-code for ALL new/extended gates = separate work item, NOT claimed shipped (§11.4.6). All Classification: universal (§11.4.17) — every project literal genericised; consumers supply layer bindings, evidence stores, verdict registries, staleness budgets, gate-site lists, deferral registries, and lockstep mirror sets as DATA per §11.4.35. Propagation gates CM-COVENANT-114-226-PROPAGATION + CM-COVENANT-114-227-PROPAGATION + recommended gates CM-EVIDENCE-CLASS-AT-CLOSURE / CM-GUARD-FRESHNESS-SCHEDULER / CM-GATE-LEDGER-RATCHET / CM-ANCHOR-BLOCK-INTEGRITY + paired §1.1 mutations; the literals 11.4.194 / 11.4.32 / 11.4.164 are unchanged — their propagation gates stay GREEN. CLAUDE.md + AGENTS.md + QWEN.md + GEMINI.md mirrors updated in lockstep (§11.4.157), each new anchor exactly ONCE per mirror, the three new blocks byte-identical across all four mirrors (md5-verified). Generated .html/.pdf/.docx twins NOT regenerated this round — the governance-twin exporter is still not a documented runnable in-repo script (the probed finding, unchanged); twins remain honestly STALE pending the exporter commit (§11.4.106(E), no silent divergence claimed). Prior round: Footgun-5 addendum of 2026-07-23 (HEL-010 harvest delta) — the §11.4.201(12) standing reference docs/guides/shell_instrument_footguns.md gains its FIFTH demonstrated instrument-side class (entry I7): a background watchdog/timeout subshell spawned INSIDE a</w:t>
            </w:r>
            <w:r>
              <w:t xml:space="preserve"> </w:t>
            </w:r>
            <w:r>
              <w:rPr>
                <w:rStyle w:val="VerbatimChar"/>
              </w:rPr>
              <w:t xml:space="preserve">$(...)</w:t>
            </w:r>
            <w:r>
              <w:t xml:space="preserve"> </w:t>
            </w:r>
            <w:r>
              <w:t xml:space="preserve">command-substitution inherits the substitution's pipe WRITE-END; disarming the watchdog early (</w:t>
            </w:r>
            <w:r>
              <w:rPr>
                <w:rStyle w:val="VerbatimChar"/>
              </w:rPr>
              <w:t xml:space="preserve">kill</w:t>
            </w:r>
            <w:r>
              <w:t xml:space="preserve">) ORPHANS its</w:t>
            </w:r>
            <w:r>
              <w:t xml:space="preserve"> </w:t>
            </w:r>
            <w:r>
              <w:rPr>
                <w:rStyle w:val="VerbatimChar"/>
              </w:rPr>
              <w:t xml:space="preserve">sleep &lt;budget&gt;</w:t>
            </w:r>
            <w:r>
              <w:t xml:space="preserve"> </w:t>
            </w:r>
            <w:r>
              <w:t xml:space="preserve">grandchild which keeps that write-end OPEN, so the enclosing</w:t>
            </w:r>
            <w:r>
              <w:t xml:space="preserve"> </w:t>
            </w:r>
            <w:r>
              <w:rPr>
                <w:rStyle w:val="VerbatimChar"/>
              </w:rPr>
              <w:t xml:space="preserve">$(...)</w:t>
            </w:r>
            <w:r>
              <w:t xml:space="preserve"> </w:t>
            </w:r>
            <w:r>
              <w:t xml:space="preserve">BLOCKS until the sleep exits — the substitution stalls for the FULL timeout budget even though the real work completed instantly, with every verdict and exit code CORRECT (a pure timing lie no verdict-checking gate can see; the healthy host reads as wedged/slow). Forensic FACT (measured 2026-07-23, a consuming toolchain's install re-review): a fast-stub probe read via command-substitution took 15s — exactly the watchdog budget — while the SAME probe writing to a file took 0s; every install/verify seam stalled +15s on a perfectly healthy host. Hermetically re-demonstrated under control conditions BEFORE codifying (§11.4.201(12)/§11.4.6, 3/3 deterministic iterations, 2026-07-22 UTC): naive</w:t>
            </w:r>
            <w:r>
              <w:t xml:space="preserve"> </w:t>
            </w:r>
            <w:r>
              <w:rPr>
                <w:rStyle w:val="VerbatimChar"/>
              </w:rPr>
              <w:t xml:space="preserve">$(...)</w:t>
            </w:r>
            <w:r>
              <w:t xml:space="preserve"> </w:t>
            </w:r>
            <w:r>
              <w:t xml:space="preserve">capture 5006-5007ms == the full 5000ms budget with instant work; the SAME probe to a file 43-46ms (the pipe IS the mechanism); the fd-redirect countermeasure (</w:t>
            </w:r>
            <w:r>
              <w:rPr>
                <w:rStyle w:val="VerbatimChar"/>
              </w:rPr>
              <w:t xml:space="preserve">( … ) &gt;/dev/null 2&gt;&amp;1 &amp;</w:t>
            </w:r>
            <w:r>
              <w:t xml:space="preserve">) restores 43-45ms with output intact WHILE a genuinely-wedged probe still bounds at rc=124 ~budget — the watchdog's protective function preserved (the §11.4.201(1) false-positive guard). COUNTERMEASURE: redirect the watchdog subshell's fds away from the cmd-subst pipe, or have the probe write to a file instead of being captured via</w:t>
            </w:r>
            <w:r>
              <w:t xml:space="preserve"> </w:t>
            </w:r>
            <w:r>
              <w:rPr>
                <w:rStyle w:val="VerbatimChar"/>
              </w:rPr>
              <w:t xml:space="preserve">$(...)</w:t>
            </w:r>
            <w:r>
              <w:t xml:space="preserve">. The §11.4.201(12) compact retellings' enumeration + count updated in LOCKSTEP across all five governance files ('all five DEMONSTRATED', §11.4.157 md5-verified); the full Constitution.md §11.4.201(12) anchor text is UNCHANGED — its enumeration is explicitly fenced to the FOUNDING classes and delegates new classes to the LIVING-document append mechanism, which this addendum exercises. Guide Revision 3. NO anchor added, removed, strengthened, or weakened; every propagation-gate literal unchanged (gates stay GREEN). Classification: universal (§11.4.17) — pure POSIX shell semantics, no toolchain/project literal. Prior round: Doc-minor remediation of 2026-07-23 — fix-forward on the independent §11.4.209-substrate review of the 2026-07-23 round (review verdict GO: 0 Blocking / 0 Important / 3 Minor, none gating). M1 — docs/guides/shell_instrument_footguns.md header made date-consistent: Created normalized to its UTC creation date 2026-07-22 (the founding commit was authored 2026-07-22T19:31:31Z; the prior 2026-07-23 value was the local +0500 date) and Last modified advanced to the real edit timestamp — §11.4.44 fields valid, no fabricated future timestamp (§11.4.6, current UTC at edit time was still 2026-07-22). M2 — the §11.4.201(9) forensic FACT's Send-Q figure hedged from an over-precise byte range the sampled raw ledgers could not byte-verify to the ledger-verifiable 'a few hundred bytes' (three orders of magnitude below the rcv_wnd capacity reading), applied identically in the full anchor text and every compact retelling across all five governance files (§11.4.157 lockstep preserved, md5-verified); the load-bearing semantics — capacity misread as occupancy, real Send-Q three orders smaller, app_limited — are unchanged and remain twice-confirmed. M3 — the repository's own README.md refreshed from its stale Rev-2 (2026-05-20) state: revision header bumped + the recent-anchor coverage note updated through §11.4.225. Wording-precision + header-freshness only — NO anchor added, removed, strengthened, or weakened; every propagation-gate literal unchanged (gates stay GREEN). Prior round: Round of 2026-07-23 — the SYSTEMATIC-DEBUGGING / MEASUREMENT-SEMANTICS harvest (HEL-010; research-derived from one day's live forensics across a consuming toolchain's debugging + measurement + review streams; every lesson VERIFIED against its captured evidence or re-demonstrated under control conditions BEFORE codifying, §11.4.6 — nothing codified on say-so). 1 NEW anchor + 4 EXTENSIONS + 1 NEW standing reference doc + 2 candidates resolved ALREADY-COVERED. NEW §11.4.225 — scheduler-quota burst-throttling telemetry + interactive-scope isolation: progressive/bursty interactive degradation MUST be diagnosed from the scheduler's THROTTLING ACCOUNTING sampled as DELTAS over time under load with a quiet-phase control (forensic FACT: a session scope at quota 9.6 CPU/100ms on a 64-CPU host, average demand 4.35 — UNDER quota — yet 16.9% of periods throttled, 0% quiet, worsening with session age, the co-located terminal-multiplexer server freezing per throttled period into multi-second stalls; every conventional average read HEALTHY — a §11.4.201(6) false-null), NEVER from averages; and an interactive-latency-sensitive process NEVER shares a fixed-quota no-burst scope with a bursty agent/build fleet — burst allowance, own scope, host-adaptive quota values with a live read-back (sibling FACT: a fixed 2-CPU default quota on a 64-core host → 18.8% of periods throttled, 1757s forced idle; fixed by host-adaptive computation, proven by a four-quadrant polarity test on the live cgroup); the THIRD orthogonal host-exhaustion axis beside §12.6 memory + §12.12 threads. EXTENSION §11.4.115(G) — defect-identity binding for CONSTRUCTED reproductions: a RED whose precondition the investigator BUILT (a hand-made lock holder) rather than TRACED to the reported defect's real evidence mints at most DEFENSIVE HARDENING, never a defect-closing fix — the reported item stays OPEN (§11.4.197); systematic-debugging refutation of every mechanism a pending fix addresses REVOKES its done-claim on the spot (forensic FACT: an exit-hang fix nearly shipped on a synthetic-mechanism RED→GREEN; §11.4.199-shape real-PTY re-driving refuted every addressed mechanism — 6/6 clean exits — and the change was honestly re-labelled in-source "defensive hardening ... NOT a fix for the reported exit-hang"); RED verdicts carry a precondition-provenance field {observed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2026-07-24T00:58:46Z</dcterms:created>
  <dcterms:modified xsi:type="dcterms:W3CDTF">2026-07-24T00:58:46Z</dcterms:modified>
</cp:coreProperties>
</file>

<file path=docProps/custom.xml><?xml version="1.0" encoding="utf-8"?>
<Properties xmlns="http://schemas.openxmlformats.org/officeDocument/2006/custom-properties" xmlns:vt="http://schemas.openxmlformats.org/officeDocument/2006/docPropsVTypes"/>
</file>