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README</w:t>
      </w:r>
    </w:p>
    <w:bookmarkStart w:id="22" w:name="helix-constitution"/>
    <w:p>
      <w:pPr>
        <w:pStyle w:val="Heading1"/>
      </w:pPr>
      <w:r>
        <w:t xml:space="preserve">Helix Constitution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2026-05-14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2026-07-23T10:55:33Z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summary</w:t>
            </w:r>
          </w:p>
        </w:tc>
        <w:tc>
          <w:tcPr/>
          <w:p>
            <w:pPr>
              <w:pStyle w:val="Compact"/>
            </w:pPr>
            <w:r>
              <w:t xml:space="preserve">Universal engineering constitution shared by every project that includes this repository as a Git submodule. R4 refresh (2026-07-23 — the §11.4.226/§11.4.227 reopen-root-cause-harvest round; prior R3 refresh = review Minor M3): the anchor corpus now extends through §11.4.227 (§11.4.226 evidence-class-at-closure + standing detection pressure; §11.4.227 governance-corpus self-custody; §11.4.225 scheduler-quota burst-throttling telemetry) plus the §12.11/§12.12 host-safety axes, with governance mirrored in lockstep across CLAUDE.md / AGENTS.md / QWEN.md / GEMINI.md (§11.4.157); the authoritative per-round history lives in Constitution.md's own header Status summary. The previous R2 blurb (Recent additions 2026-05-20: §11.4.73–78 ...) had been stale for roughly 150 anchors.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 summary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initial creation (R1, 2026-05-14); README overhaul + recent-additions refresh (R2, 2026-05-20); revision-header + recent-anchor-coverage refresh (R3, 2026-07-23 — review Minor M3 of commit 698dd52).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summary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t xml:space="preserve">The universal engineering constitution shared by every project that</w:t>
      </w:r>
      <w:r>
        <w:t xml:space="preserve"> </w:t>
      </w:r>
      <w:r>
        <w:t xml:space="preserve">includes this repository as a Git submodule.</w:t>
      </w:r>
    </w:p>
    <w:bookmarkStart w:id="9" w:name="what-this-is"/>
    <w:p>
      <w:pPr>
        <w:pStyle w:val="Heading2"/>
      </w:pPr>
      <w:r>
        <w:t xml:space="preserve">What this is</w:t>
      </w:r>
    </w:p>
    <w:p>
      <w:pPr>
        <w:pStyle w:val="FirstParagraph"/>
      </w:pPr>
      <w:r>
        <w:t xml:space="preserve">This repository contains the</w:t>
      </w:r>
      <w:r>
        <w:t xml:space="preserve"> </w:t>
      </w:r>
      <w:r>
        <w:rPr>
          <w:b/>
          <w:bCs/>
        </w:rPr>
        <w:t xml:space="preserve">universal, project-agnostic</w:t>
      </w:r>
      <w:r>
        <w:t xml:space="preserve"> </w:t>
      </w:r>
      <w:r>
        <w:t xml:space="preserve">rules,</w:t>
      </w:r>
      <w:r>
        <w:t xml:space="preserve"> </w:t>
      </w:r>
      <w:r>
        <w:t xml:space="preserve">constraints, and conventions that every Helix project (and any other</w:t>
      </w:r>
      <w:r>
        <w:t xml:space="preserve"> </w:t>
      </w:r>
      <w:r>
        <w:t xml:space="preserve">project that opts in) inherits automatically. Project-specific rules</w:t>
      </w:r>
      <w:r>
        <w:t xml:space="preserve"> </w:t>
      </w:r>
      <w:r>
        <w:t xml:space="preserve">live in the consuming project's own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QWEN.md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extend</w:t>
      </w:r>
      <w:r>
        <w:t xml:space="preserve"> </w:t>
      </w:r>
      <w:r>
        <w:t xml:space="preserve">what is in here.</w:t>
      </w:r>
    </w:p>
    <w:p>
      <w:pPr>
        <w:pStyle w:val="BodyText"/>
      </w:pPr>
      <w:r>
        <w:t xml:space="preserve">The model is three-layer (top-to-bottom evaluation, project overrides</w:t>
      </w:r>
      <w:r>
        <w:t xml:space="preserve"> </w:t>
      </w:r>
      <w:r>
        <w:t xml:space="preserve">universal when conflicts are explicit):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Base layer (this submodule)</w:t>
      </w:r>
      <w:r>
        <w:t xml:space="preserve"> </w:t>
      </w:r>
      <w:r>
        <w:t xml:space="preserve">— universal rules: anti-bluff</w:t>
      </w:r>
      <w:r>
        <w:t xml:space="preserve"> </w:t>
      </w:r>
      <w:r>
        <w:t xml:space="preserve">covenant (§11.4), data safety, host safety, test coverage, commit/</w:t>
      </w:r>
      <w:r>
        <w:t xml:space="preserve"> </w:t>
      </w:r>
      <w:r>
        <w:t xml:space="preserve">push discipline, credentials handling (§11.4.10), documentation</w:t>
      </w:r>
      <w:r>
        <w:t xml:space="preserve"> </w:t>
      </w:r>
      <w:r>
        <w:t xml:space="preserve">discipline (§11.4.65), submodule-catalogue-first discovery</w:t>
      </w:r>
      <w:r>
        <w:t xml:space="preserve"> </w:t>
      </w:r>
      <w:r>
        <w:t xml:space="preserve">(§11.4.74), containers-submodule mandate (§11.4.76).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Project layer</w:t>
      </w:r>
      <w:r>
        <w:t xml:space="preserve"> </w:t>
      </w:r>
      <w:r>
        <w:t xml:space="preserve">— project root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QWEN.md</w:t>
      </w:r>
      <w:r>
        <w:t xml:space="preserve">: domain-specific rules, hardware-specific</w:t>
      </w:r>
      <w:r>
        <w:t xml:space="preserve"> </w:t>
      </w:r>
      <w:r>
        <w:t xml:space="preserve">constraints, service-specific configuration.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Subdirectory layer (optional)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&lt;subdir&gt;/CLAUDE.md</w:t>
      </w:r>
      <w:r>
        <w:t xml:space="preserve"> </w:t>
      </w:r>
      <w:r>
        <w:t xml:space="preserve">for</w:t>
      </w:r>
      <w:r>
        <w:t xml:space="preserve"> </w:t>
      </w:r>
      <w:r>
        <w:t xml:space="preserve">module-local overrides. CLI agents (Claude Code, Codex, Cursor,</w:t>
      </w:r>
      <w:r>
        <w:t xml:space="preserve"> </w:t>
      </w:r>
      <w:r>
        <w:t xml:space="preserve">OpenCode, Qwen Code, Kimi CLI, Crush) merge these by walking up</w:t>
      </w:r>
      <w:r>
        <w:t xml:space="preserve"> </w:t>
      </w:r>
      <w:r>
        <w:t xml:space="preserve">from the working directory.</w:t>
      </w:r>
    </w:p>
    <w:bookmarkEnd w:id="9"/>
    <w:bookmarkStart w:id="14" w:name="how-to-consume"/>
    <w:p>
      <w:pPr>
        <w:pStyle w:val="Heading2"/>
      </w:pPr>
      <w:r>
        <w:t xml:space="preserve">How to consume</w:t>
      </w:r>
    </w:p>
    <w:bookmarkStart w:id="10" w:name="X49f7783d9e64ee07fe3893bd6cf95730b37ab67"/>
    <w:p>
      <w:pPr>
        <w:pStyle w:val="Heading3"/>
      </w:pPr>
      <w:r>
        <w:t xml:space="preserve">1. Add the submodule</w:t>
      </w:r>
    </w:p>
    <w:p>
      <w:pPr>
        <w:pStyle w:val="FirstParagraph"/>
      </w:pPr>
      <w:r>
        <w:t xml:space="preserve">In each consuming project: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submodule add git@github.com:HelixDevelopment/HelixConstitution.git constitution</w:t>
      </w:r>
      <w:r>
        <w:br/>
      </w:r>
      <w:r>
        <w:br/>
      </w:r>
      <w:r>
        <w:rPr>
          <w:rStyle w:val="CommentTok"/>
        </w:rPr>
        <w:t xml:space="preserve"># Pin to a tag for reproducibility (recommended)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constitution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v1.0.0          </w:t>
      </w:r>
      <w:r>
        <w:rPr>
          <w:rStyle w:val="CommentTok"/>
        </w:rPr>
        <w:t xml:space="preserve"># whatever the current stable tag is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constitution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"chore: add Helix Constitution submodule pinned to v1.0.0"</w:t>
      </w:r>
    </w:p>
    <w:p>
      <w:pPr>
        <w:pStyle w:val="FirstParagraph"/>
      </w:pPr>
      <w:r>
        <w:t xml:space="preserve">When teammates clone your project: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AttributeTok"/>
        </w:rPr>
        <w:t xml:space="preserve">--recurse-submodules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your-project-url</w:t>
      </w:r>
      <w:r>
        <w:rPr>
          <w:rStyle w:val="OperatorTok"/>
        </w:rPr>
        <w:t xml:space="preserve">&gt;</w:t>
      </w:r>
      <w:r>
        <w:br/>
      </w:r>
      <w:r>
        <w:rPr>
          <w:rStyle w:val="CommentTok"/>
        </w:rPr>
        <w:t xml:space="preserve"># or if already cloned: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submodule update </w:t>
      </w:r>
      <w:r>
        <w:rPr>
          <w:rStyle w:val="AttributeTok"/>
        </w:rPr>
        <w:t xml:space="preserve">--init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--recursive</w:t>
      </w:r>
    </w:p>
    <w:bookmarkEnd w:id="10"/>
    <w:bookmarkStart w:id="11" w:name="X654b8e05d3473c31fe33140280dbdff36331b1f"/>
    <w:p>
      <w:pPr>
        <w:pStyle w:val="Heading3"/>
      </w:pPr>
      <w:r>
        <w:t xml:space="preserve">2. Wire the inheritance</w:t>
      </w:r>
    </w:p>
    <w:p>
      <w:pPr>
        <w:pStyle w:val="FirstParagraph"/>
      </w:pPr>
      <w:r>
        <w:t xml:space="preserve">Add a clearly-marked pointer at the top of your project's root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## INHERITED FROM constitution/CLAUDE.md</w:t>
      </w:r>
      <w:r>
        <w:br/>
      </w:r>
      <w:r>
        <w:br/>
      </w:r>
      <w:r>
        <w:rPr>
          <w:rStyle w:val="NormalTok"/>
        </w:rPr>
        <w:t xml:space="preserve">All rules in </w:t>
      </w:r>
      <w:r>
        <w:rPr>
          <w:rStyle w:val="InformationTok"/>
        </w:rPr>
        <w:t xml:space="preserve">`constitution/CLAUDE.md`</w:t>
      </w:r>
      <w:r>
        <w:rPr>
          <w:rStyle w:val="NormalTok"/>
        </w:rPr>
        <w:t xml:space="preserve"> (and the </w:t>
      </w:r>
      <w:r>
        <w:rPr>
          <w:rStyle w:val="InformationTok"/>
        </w:rPr>
        <w:t xml:space="preserve">`constitution/Constitution.md`</w:t>
      </w:r>
      <w:r>
        <w:br/>
      </w:r>
      <w:r>
        <w:rPr>
          <w:rStyle w:val="NormalTok"/>
        </w:rPr>
        <w:t xml:space="preserve">it references) apply unconditionally. Project-specific rules below</w:t>
      </w:r>
      <w:r>
        <w:br/>
      </w:r>
      <w:r>
        <w:rPr>
          <w:rStyle w:val="NormalTok"/>
        </w:rPr>
        <w:t xml:space="preserve">extend them.</w:t>
      </w:r>
      <w:r>
        <w:br/>
      </w:r>
      <w:r>
        <w:br/>
      </w:r>
      <w:r>
        <w:rPr>
          <w:rStyle w:val="NormalTok"/>
        </w:rPr>
        <w:t xml:space="preserve">@constitution/CLAUDE.md</w:t>
      </w:r>
    </w:p>
    <w:p>
      <w:pPr>
        <w:pStyle w:val="FirstParagraph"/>
      </w:pPr>
      <w:r>
        <w:t xml:space="preserve">Same for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(any AI-agent tooling) and (since 2026-05-20)</w:t>
      </w:r>
      <w:r>
        <w:t xml:space="preserve"> </w:t>
      </w:r>
      <w:r>
        <w:rPr>
          <w:rStyle w:val="VerbatimChar"/>
        </w:rPr>
        <w:t xml:space="preserve">QWEN.md</w:t>
      </w:r>
      <w:r>
        <w:t xml:space="preserve"> </w:t>
      </w:r>
      <w:r>
        <w:t xml:space="preserve">for Qwen Code:</w:t>
      </w:r>
    </w:p>
    <w:p>
      <w:pPr>
        <w:pStyle w:val="SourceCode"/>
      </w:pPr>
      <w:r>
        <w:rPr>
          <w:rStyle w:val="AttributeTok"/>
        </w:rPr>
        <w:t xml:space="preserve">&gt; Base agent rules: </w:t>
      </w:r>
      <w:r>
        <w:rPr>
          <w:rStyle w:val="InformationTok"/>
        </w:rPr>
        <w:t xml:space="preserve">`constitution/AGENTS.md`</w:t>
      </w:r>
      <w:r>
        <w:rPr>
          <w:rStyle w:val="AttributeTok"/>
        </w:rPr>
        <w:t xml:space="preserve"> — READ IT FIRST.</w:t>
      </w:r>
      <w:r>
        <w:br/>
      </w:r>
      <w:r>
        <w:rPr>
          <w:rStyle w:val="AttributeTok"/>
        </w:rPr>
        <w:t xml:space="preserve">&gt; The base file is authoritative for any topic not covered here.</w:t>
      </w:r>
    </w:p>
    <w:p>
      <w:pPr>
        <w:pStyle w:val="FirstParagraph"/>
      </w:pPr>
      <w:r>
        <w:t xml:space="preserve">And for your project Constitution:</w:t>
      </w:r>
    </w:p>
    <w:p>
      <w:pPr>
        <w:pStyle w:val="SourceCode"/>
      </w:pPr>
      <w:r>
        <w:rPr>
          <w:rStyle w:val="NormalTok"/>
        </w:rPr>
        <w:t xml:space="preserve">This constitution **extends** the Helix Universal Constitution at</w:t>
      </w:r>
      <w:r>
        <w:br/>
      </w:r>
      <w:r>
        <w:rPr>
          <w:rStyle w:val="InformationTok"/>
        </w:rPr>
        <w:t xml:space="preserve">`constitution/Constitution.md`</w:t>
      </w:r>
      <w:r>
        <w:rPr>
          <w:rStyle w:val="NormalTok"/>
        </w:rPr>
        <w:t xml:space="preserve">. All clauses there apply unless</w:t>
      </w:r>
      <w:r>
        <w:br/>
      </w:r>
      <w:r>
        <w:rPr>
          <w:rStyle w:val="NormalTok"/>
        </w:rPr>
        <w:t xml:space="preserve">explicitly overridden below with an explicit </w:t>
      </w:r>
      <w:r>
        <w:rPr>
          <w:rStyle w:val="InformationTok"/>
        </w:rPr>
        <w:t xml:space="preserve">`Override §X.Y`</w:t>
      </w:r>
      <w:r>
        <w:br/>
      </w:r>
      <w:r>
        <w:rPr>
          <w:rStyle w:val="NormalTok"/>
        </w:rPr>
        <w:t xml:space="preserve">section.</w:t>
      </w:r>
    </w:p>
    <w:bookmarkEnd w:id="11"/>
    <w:bookmarkStart w:id="12" w:name="X199acb7d6c2bd0d92d7fd6df6c934ca5b7aa882"/>
    <w:p>
      <w:pPr>
        <w:pStyle w:val="Heading3"/>
      </w:pPr>
      <w:r>
        <w:t xml:space="preserve">3. Set up the multi-upstream push</w:t>
      </w:r>
    </w:p>
    <w:p>
      <w:pPr>
        <w:pStyle w:val="FirstParagraph"/>
      </w:pPr>
      <w:r>
        <w:t xml:space="preserve">From the</w:t>
      </w:r>
      <w:r>
        <w:t xml:space="preserve"> </w:t>
      </w:r>
      <w:r>
        <w:rPr>
          <w:b/>
          <w:bCs/>
        </w:rPr>
        <w:t xml:space="preserve">constitution submodule's</w:t>
      </w:r>
      <w:r>
        <w:t xml:space="preserve"> </w:t>
      </w:r>
      <w:r>
        <w:t xml:space="preserve">root directory: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constitution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install_upstreams.sh</w:t>
      </w:r>
    </w:p>
    <w:p>
      <w:pPr>
        <w:pStyle w:val="FirstParagraph"/>
      </w:pPr>
      <w:r>
        <w:t xml:space="preserve">This reads every</w:t>
      </w:r>
      <w:r>
        <w:t xml:space="preserve"> </w:t>
      </w:r>
      <w:r>
        <w:rPr>
          <w:rStyle w:val="VerbatimChar"/>
        </w:rPr>
        <w:t xml:space="preserve">Upstreams/*.sh</w:t>
      </w:r>
      <w:r>
        <w:t xml:space="preserve"> </w:t>
      </w:r>
      <w:r>
        <w:t xml:space="preserve">declaration and configures matching</w:t>
      </w:r>
      <w:r>
        <w:t xml:space="preserve"> </w:t>
      </w:r>
      <w:r>
        <w:t xml:space="preserve">git remotes locally, so a single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reaches every provider</w:t>
      </w:r>
      <w:r>
        <w:t xml:space="preserve"> </w:t>
      </w:r>
      <w:r>
        <w:t xml:space="preserve">(GitHub, GitLab, GitFlic, GitVerse).</w:t>
      </w:r>
    </w:p>
    <w:p>
      <w:pPr>
        <w:pStyle w:val="BodyText"/>
      </w:pPr>
      <w:r>
        <w:t xml:space="preserve">Alternatively, if your toolkit ships the system-wide</w:t>
      </w:r>
      <w:r>
        <w:t xml:space="preserve"> </w:t>
      </w:r>
      <w:r>
        <w:rPr>
          <w:rStyle w:val="VerbatimChar"/>
        </w:rPr>
        <w:t xml:space="preserve">install_upstreams</w:t>
      </w:r>
      <w:r>
        <w:t xml:space="preserve"> </w:t>
      </w:r>
      <w:r>
        <w:t xml:space="preserve">command (Project-Toolkit</w:t>
      </w:r>
      <w:r>
        <w:t xml:space="preserve"> </w:t>
      </w:r>
      <w:r>
        <w:rPr>
          <w:rStyle w:val="VerbatimChar"/>
        </w:rPr>
        <w:t xml:space="preserve">Upstreamable/</w:t>
      </w:r>
      <w:r>
        <w:t xml:space="preserve">), you</w:t>
      </w:r>
      <w:r>
        <w:t xml:space="preserve"> </w:t>
      </w:r>
      <w:r>
        <w:t xml:space="preserve">can invoke that instead — it reads the same</w:t>
      </w:r>
      <w:r>
        <w:t xml:space="preserve"> </w:t>
      </w:r>
      <w:r>
        <w:rPr>
          <w:rStyle w:val="VerbatimChar"/>
        </w:rPr>
        <w:t xml:space="preserve">Upstreams/</w:t>
      </w:r>
      <w:r>
        <w:t xml:space="preserve"> </w:t>
      </w:r>
      <w:r>
        <w:t xml:space="preserve">directory.</w:t>
      </w:r>
    </w:p>
    <w:bookmarkEnd w:id="12"/>
    <w:bookmarkStart w:id="13" w:name="Xdd019bf0cf015e35ac2c1c02c29f39d62c131e7"/>
    <w:p>
      <w:pPr>
        <w:pStyle w:val="Heading3"/>
      </w:pPr>
      <w:r>
        <w:t xml:space="preserve">4. Verify inheritance with an automated test</w:t>
      </w:r>
    </w:p>
    <w:p>
      <w:pPr>
        <w:pStyle w:val="FirstParagraph"/>
      </w:pPr>
      <w:r>
        <w:t xml:space="preserve">Every consuming project should ship a test that verifies the</w:t>
      </w:r>
      <w:r>
        <w:t xml:space="preserve"> </w:t>
      </w:r>
      <w:r>
        <w:t xml:space="preserve">constitution submodule is present, at the expected pinned revision,</w:t>
      </w:r>
      <w:r>
        <w:t xml:space="preserve"> </w:t>
      </w:r>
      <w:r>
        <w:t xml:space="preserve">and that the project's CLAUDE.md / AGENTS.md / QWEN.md / Constitution</w:t>
      </w:r>
      <w:r>
        <w:t xml:space="preserve"> </w:t>
      </w:r>
      <w:r>
        <w:t xml:space="preserve">all reference the submodule. See:</w:t>
      </w:r>
    </w:p>
    <w:p>
      <w:pPr>
        <w:pStyle w:val="Compact"/>
        <w:numPr>
          <w:ilvl w:val="0"/>
          <w:numId w:val="1002"/>
        </w:numPr>
      </w:pPr>
      <w:r>
        <w:t xml:space="preserve">The ATMOSphere project's</w:t>
      </w:r>
      <w:r>
        <w:t xml:space="preserve"> </w:t>
      </w:r>
      <w:r>
        <w:rPr>
          <w:rStyle w:val="VerbatimChar"/>
        </w:rPr>
        <w:t xml:space="preserve">test_constitution_inheritance.sh</w:t>
      </w:r>
      <w:r>
        <w:t xml:space="preserve"> </w:t>
      </w:r>
      <w:r>
        <w:t xml:space="preserve">for the</w:t>
      </w:r>
      <w:r>
        <w:t xml:space="preserve"> </w:t>
      </w:r>
      <w:r>
        <w:t xml:space="preserve">reference implementation pattern.</w:t>
      </w:r>
    </w:p>
    <w:p>
      <w:pPr>
        <w:pStyle w:val="Compact"/>
        <w:numPr>
          <w:ilvl w:val="0"/>
          <w:numId w:val="1002"/>
        </w:numPr>
      </w:pPr>
      <w:r>
        <w:t xml:space="preserve">The Herald project's</w:t>
      </w:r>
      <w:r>
        <w:t xml:space="preserve"> </w:t>
      </w:r>
      <w:r>
        <w:rPr>
          <w:rStyle w:val="VerbatimChar"/>
        </w:rPr>
        <w:t xml:space="preserve">tests/test_constitution_inheritance.sh</w:t>
      </w:r>
      <w:r>
        <w:t xml:space="preserve"> </w:t>
      </w:r>
      <w:r>
        <w:t xml:space="preserve">+ paired</w:t>
      </w:r>
      <w:r>
        <w:t xml:space="preserve"> </w:t>
      </w:r>
      <w:r>
        <w:rPr>
          <w:rStyle w:val="VerbatimChar"/>
        </w:rPr>
        <w:t xml:space="preserve">tests/test_i6_refinement_meta.sh</w:t>
      </w:r>
      <w:r>
        <w:t xml:space="preserve"> </w:t>
      </w:r>
      <w:r>
        <w:t xml:space="preserve">for an example with refined I6</w:t>
      </w:r>
      <w:r>
        <w:t xml:space="preserve"> </w:t>
      </w:r>
      <w:r>
        <w:t xml:space="preserve">invariant (allows non-constitution submodules) per the original</w:t>
      </w:r>
      <w:r>
        <w:t xml:space="preserve"> </w:t>
      </w:r>
      <w:r>
        <w:t xml:space="preserve">pattern.</w:t>
      </w:r>
    </w:p>
    <w:p>
      <w:pPr>
        <w:pStyle w:val="Compact"/>
        <w:numPr>
          <w:ilvl w:val="0"/>
          <w:numId w:val="1002"/>
        </w:numPr>
      </w:pPr>
      <w:r>
        <w:t xml:space="preserve">The Herald</w:t>
      </w:r>
      <w:r>
        <w:t xml:space="preserve"> </w:t>
      </w:r>
      <w:r>
        <w:rPr>
          <w:rStyle w:val="VerbatimChar"/>
        </w:rPr>
        <w:t xml:space="preserve">scripts/audit_antibluff.sh</w:t>
      </w:r>
      <w:r>
        <w:t xml:space="preserve"> </w:t>
      </w:r>
      <w:r>
        <w:t xml:space="preserve">for the canonical anti-bluff</w:t>
      </w:r>
      <w:r>
        <w:t xml:space="preserve"> </w:t>
      </w:r>
      <w:r>
        <w:t xml:space="preserve">audit pattern (3 invariants: §11.4 anchor across submodules + default</w:t>
      </w:r>
      <w:r>
        <w:t xml:space="preserve"> </w:t>
      </w:r>
      <w:r>
        <w:t xml:space="preserve">test suite green + paired §1.1 meta-test green).</w:t>
      </w:r>
    </w:p>
    <w:bookmarkEnd w:id="13"/>
    <w:bookmarkEnd w:id="14"/>
    <w:bookmarkStart w:id="15" w:name="contents"/>
    <w:p>
      <w:pPr>
        <w:pStyle w:val="Heading2"/>
      </w:pPr>
      <w:r>
        <w:t xml:space="preserve">Contents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Constitution.md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canonical universal constitution.</w:t>
            </w:r>
            <w:r>
              <w:t xml:space="preserve"> </w:t>
            </w:r>
            <w:r>
              <w:t xml:space="preserve">All clauses are project-agnostic.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CLAUDE.md</w:t>
            </w:r>
          </w:p>
        </w:tc>
        <w:tc>
          <w:tcPr/>
          <w:p>
            <w:pPr>
              <w:pStyle w:val="Compact"/>
            </w:pPr>
            <w:r>
              <w:t xml:space="preserve">Universal CLAUDE.md for Claude Code agents. Imports</w:t>
            </w:r>
            <w:r>
              <w:t xml:space="preserve"> </w:t>
            </w:r>
            <w:r>
              <w:rPr>
                <w:rStyle w:val="VerbatimChar"/>
              </w:rPr>
              <w:t xml:space="preserve">Constitution.md</w:t>
            </w:r>
            <w:r>
              <w:t xml:space="preserve"> </w:t>
            </w:r>
            <w:r>
              <w:t xml:space="preserve">by reference.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</w:pPr>
            <w:r>
              <w:t xml:space="preserve">Universal AGENTS.md for every other CLI agent (Codex, Cursor, Aider, OpenCode, Crush, Kimi CLI).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QWEN.md</w:t>
            </w:r>
          </w:p>
        </w:tc>
        <w:tc>
          <w:tcPr/>
          <w:p>
            <w:pPr>
              <w:pStyle w:val="Compact"/>
            </w:pPr>
            <w:r>
              <w:t xml:space="preserve">Universal QWEN.md for the Qwen Code CLI agent. Created 2026-05-20 per the §11.4.76 propagation set.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submodules-catalogue.md</w:t>
            </w:r>
          </w:p>
        </w:tc>
        <w:tc>
          <w:tcPr/>
          <w:p>
            <w:pPr>
              <w:pStyle w:val="Compact"/>
            </w:pPr>
            <w:r>
              <w:t xml:space="preserve">Canonical inventory of every owned-by-us repository under</w:t>
            </w:r>
            <w:r>
              <w:t xml:space="preserve"> </w:t>
            </w:r>
            <w:r>
              <w:rPr>
                <w:rStyle w:val="VerbatimChar"/>
              </w:rPr>
              <w:t xml:space="preserve">vasic-digital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HelixDevelopment</w:t>
            </w:r>
            <w:r>
              <w:t xml:space="preserve"> </w:t>
            </w:r>
            <w:r>
              <w:t xml:space="preserve">(142 repos at landing time). Created 2026-05-20 per §11.4.74 follow-up mandate.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License governing the constitution text itself.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Upstreams/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  <w:r>
              <w:t xml:space="preserve"> </w:t>
            </w:r>
            <w:r>
              <w:rPr>
                <w:rStyle w:val="VerbatimChar"/>
              </w:rPr>
              <w:t xml:space="preserve">.sh</w:t>
            </w:r>
            <w:r>
              <w:t xml:space="preserve"> </w:t>
            </w:r>
            <w:r>
              <w:t xml:space="preserve">declaration file per upstream Git remote.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install_upstreams.sh</w:t>
            </w:r>
          </w:p>
        </w:tc>
        <w:tc>
          <w:tcPr/>
          <w:p>
            <w:pPr>
              <w:pStyle w:val="Compact"/>
            </w:pPr>
            <w:r>
              <w:t xml:space="preserve">Configures every declared upstream as a local git remote.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find_constitution.sh</w:t>
            </w:r>
          </w:p>
        </w:tc>
        <w:tc>
          <w:tcPr/>
          <w:p>
            <w:pPr>
              <w:pStyle w:val="Compact"/>
            </w:pPr>
            <w:r>
              <w:t xml:space="preserve">Helper that locates this submodule from arbitrary nested depth.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meta_test_inheritance.sh</w:t>
            </w:r>
          </w:p>
        </w:tc>
        <w:tc>
          <w:tcPr/>
          <w:p>
            <w:pPr>
              <w:pStyle w:val="Compact"/>
            </w:pPr>
            <w:r>
              <w:t xml:space="preserve">Sentinel-based meta-test that verifies the inheritance gate catches a deletion of the §11.4 anchor.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templates/</w:t>
            </w:r>
          </w:p>
        </w:tc>
        <w:tc>
          <w:tcPr/>
          <w:p>
            <w:pPr>
              <w:pStyle w:val="Compact"/>
            </w:pPr>
            <w:r>
              <w:t xml:space="preserve">Templates for project-specific Constitution / CLAUDE / AGENTS / QWEN files.</w:t>
            </w:r>
          </w:p>
        </w:tc>
      </w:tr>
    </w:tbl>
    <w:bookmarkEnd w:id="15"/>
    <w:bookmarkStart w:id="16" w:name="recent-additions-2026-05-20"/>
    <w:p>
      <w:pPr>
        <w:pStyle w:val="Heading2"/>
      </w:pPr>
      <w:r>
        <w:t xml:space="preserve">Recent additions (2026-05-20)</w:t>
      </w:r>
    </w:p>
    <w:p>
      <w:pPr>
        <w:pStyle w:val="FirstParagraph"/>
      </w:pPr>
      <w:r>
        <w:t xml:space="preserve">The following clauses + companion files landed this session in response</w:t>
      </w:r>
      <w:r>
        <w:t xml:space="preserve"> </w:t>
      </w:r>
      <w:r>
        <w:t xml:space="preserve">to operator mandates. Each entry includes the verbatim user mandate in</w:t>
      </w:r>
      <w:r>
        <w:t xml:space="preserve"> </w:t>
      </w:r>
      <w:r>
        <w:t xml:space="preserve">its forensic-anchor block within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Clause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§11.4.73</w:t>
            </w:r>
          </w:p>
        </w:tc>
        <w:tc>
          <w:tcPr/>
          <w:p>
            <w:pPr>
              <w:pStyle w:val="Compact"/>
            </w:pPr>
            <w:r>
              <w:t xml:space="preserve">Main-specification document versioning + Revision discipline (V1/V2/V3 primary + Revision secondary axes).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§11.4.74</w:t>
            </w:r>
          </w:p>
        </w:tc>
        <w:tc>
          <w:tcPr/>
          <w:p>
            <w:pPr>
              <w:pStyle w:val="Compact"/>
            </w:pPr>
            <w:r>
              <w:t xml:space="preserve">Submodule-catalogue-first discovery + extend-don't-reimplement. See</w:t>
            </w:r>
            <w:r>
              <w:t xml:space="preserve"> </w:t>
            </w:r>
            <w:r>
              <w:rPr>
                <w:rStyle w:val="VerbatimChar"/>
              </w:rPr>
              <w:t xml:space="preserve">submodules-catalogue.md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§11.4.75</w:t>
            </w:r>
          </w:p>
        </w:tc>
        <w:tc>
          <w:tcPr/>
          <w:p>
            <w:pPr>
              <w:pStyle w:val="Compact"/>
            </w:pPr>
            <w:r>
              <w:t xml:space="preserve">Mechanical enforcement without exception (5-layer git-hook discipline).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§11.4.76</w:t>
            </w:r>
          </w:p>
        </w:tc>
        <w:tc>
          <w:tcPr/>
          <w:p>
            <w:pPr>
              <w:pStyle w:val="Compact"/>
            </w:pPr>
            <w:r>
              <w:t xml:space="preserve">Containers-submodule mandate — use</w:t>
            </w:r>
            <w:r>
              <w:t xml:space="preserve"> </w:t>
            </w:r>
            <w:r>
              <w:rPr>
                <w:rStyle w:val="VerbatimChar"/>
              </w:rPr>
              <w:t xml:space="preserve">vasic-digital/containers</w:t>
            </w:r>
            <w:r>
              <w:t xml:space="preserve"> </w:t>
            </w:r>
            <w:r>
              <w:t xml:space="preserve">for ALL containerised workloads.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§11.4.77</w:t>
            </w:r>
          </w:p>
        </w:tc>
        <w:tc>
          <w:tcPr/>
          <w:p>
            <w:pPr>
              <w:pStyle w:val="Compact"/>
            </w:pPr>
            <w:r>
              <w:t xml:space="preserve">Regeneration-mechanism-required mandate.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§11.4.78</w:t>
            </w:r>
          </w:p>
        </w:tc>
        <w:tc>
          <w:tcPr/>
          <w:p>
            <w:pPr>
              <w:pStyle w:val="Compact"/>
            </w:pPr>
            <w:r>
              <w:t xml:space="preserve">CodeGraph code-intelligence mandate (npm</w:t>
            </w:r>
            <w:r>
              <w:t xml:space="preserve"> </w:t>
            </w:r>
            <w:r>
              <w:rPr>
                <w:rStyle w:val="VerbatimChar"/>
              </w:rPr>
              <w:t xml:space="preserve">@colbymchenry/codegraph</w:t>
            </w:r>
            <w:r>
              <w:t xml:space="preserve">).</w:t>
            </w:r>
          </w:p>
        </w:tc>
      </w:tr>
    </w:tbl>
    <w:p>
      <w:pPr>
        <w:pStyle w:val="BodyText"/>
      </w:pPr>
      <w:r>
        <w:t xml:space="preserve">New companion file:</w:t>
      </w:r>
      <w:r>
        <w:t xml:space="preserve"> </w:t>
      </w:r>
      <w:r>
        <w:rPr>
          <w:rStyle w:val="VerbatimChar"/>
        </w:rPr>
        <w:t xml:space="preserve">submodules-catalogue.md</w:t>
      </w:r>
      <w:r>
        <w:t xml:space="preserve"> </w:t>
      </w:r>
      <w:r>
        <w:t xml:space="preserve">— 142 repos categorised</w:t>
      </w:r>
      <w:r>
        <w:t xml:space="preserve"> </w:t>
      </w:r>
      <w:r>
        <w:t xml:space="preserve">into 10 capability groups (Container + lifecycle, AI/LLM + agent,</w:t>
      </w:r>
      <w:r>
        <w:t xml:space="preserve"> </w:t>
      </w:r>
      <w:r>
        <w:t xml:space="preserve">Messaging + observability + storage, Auth + security + middleware,</w:t>
      </w:r>
      <w:r>
        <w:t xml:space="preserve"> </w:t>
      </w:r>
      <w:r>
        <w:t xml:space="preserve">Cross-platform KMP, TypeScript/React + Web, Testing + QA, Apps/tools,</w:t>
      </w:r>
      <w:r>
        <w:t xml:space="preserve"> </w:t>
      </w:r>
      <w:r>
        <w:t xml:space="preserve">Misc/scaffolds).</w:t>
      </w:r>
    </w:p>
    <w:p>
      <w:pPr>
        <w:pStyle w:val="BodyText"/>
      </w:pPr>
      <w:r>
        <w:t xml:space="preserve">New file:</w:t>
      </w:r>
      <w:r>
        <w:t xml:space="preserve"> </w:t>
      </w:r>
      <w:r>
        <w:rPr>
          <w:rStyle w:val="VerbatimChar"/>
        </w:rPr>
        <w:t xml:space="preserve">QWEN.md</w:t>
      </w:r>
      <w:r>
        <w:t xml:space="preserve"> </w:t>
      </w:r>
      <w:r>
        <w:t xml:space="preserve">— Qwen Code CLI agent's view of the universal</w:t>
      </w:r>
      <w:r>
        <w:t xml:space="preserve"> </w:t>
      </w:r>
      <w:r>
        <w:t xml:space="preserve">constitution, structured analogously to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but tailored to</w:t>
      </w:r>
      <w:r>
        <w:t xml:space="preserve"> </w:t>
      </w:r>
      <w:r>
        <w:t xml:space="preserve">Qwen Code's expectations.</w:t>
      </w:r>
    </w:p>
    <w:bookmarkEnd w:id="16"/>
    <w:bookmarkStart w:id="17" w:name="multi-upstream-topology"/>
    <w:p>
      <w:pPr>
        <w:pStyle w:val="Heading2"/>
      </w:pPr>
      <w:r>
        <w:t xml:space="preserve">Multi-upstream topology</w:t>
      </w:r>
    </w:p>
    <w:p>
      <w:pPr>
        <w:pStyle w:val="FirstParagraph"/>
      </w:pPr>
      <w:r>
        <w:t xml:space="preserve">This repository is hosted on four providers, with GitHub as the</w:t>
      </w:r>
      <w:r>
        <w:t xml:space="preserve"> </w:t>
      </w:r>
      <w:r>
        <w:t xml:space="preserve">primary: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Remote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github</w:t>
            </w:r>
            <w:r>
              <w:t xml:space="preserve"> </w:t>
            </w:r>
            <w:r>
              <w:t xml:space="preserve">(primary)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git@github.com:HelixDevelopment/HelixConstitution.git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gitlab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git@gitlab.com:helixdevelopment1/helixconstitution.git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gitflic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git@gitflic.ru:helixdevelopment/helixconstitution.git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gitverse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git@gitverse.ru:helixdevelopment/HelixConstitution.git</w:t>
            </w:r>
          </w:p>
        </w:tc>
      </w:tr>
    </w:tbl>
    <w:p>
      <w:pPr>
        <w:pStyle w:val="BodyText"/>
      </w:pPr>
      <w:r>
        <w:t xml:space="preserve">Every commit MUST be pushed to ALL four. The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 </w:t>
      </w:r>
      <w:r>
        <w:t xml:space="preserve">remote is</w:t>
      </w:r>
      <w:r>
        <w:t xml:space="preserve"> </w:t>
      </w:r>
      <w:r>
        <w:t xml:space="preserve">configured with multiple push URLs so</w:t>
      </w:r>
      <w:r>
        <w:t xml:space="preserve"> </w:t>
      </w:r>
      <w:r>
        <w:rPr>
          <w:rStyle w:val="VerbatimChar"/>
        </w:rPr>
        <w:t xml:space="preserve">git push origin &lt;branch&gt;</w:t>
      </w:r>
      <w:r>
        <w:t xml:space="preserve"> </w:t>
      </w:r>
      <w:r>
        <w:t xml:space="preserve">fans out to every provider in one command.</w:t>
      </w:r>
    </w:p>
    <w:bookmarkEnd w:id="17"/>
    <w:bookmarkStart w:id="18" w:name="recursive-inheritance"/>
    <w:p>
      <w:pPr>
        <w:pStyle w:val="Heading2"/>
      </w:pPr>
      <w:r>
        <w:t xml:space="preserve">Recursive inheritance</w:t>
      </w:r>
    </w:p>
    <w:p>
      <w:pPr>
        <w:pStyle w:val="FirstParagraph"/>
      </w:pPr>
      <w:r>
        <w:t xml:space="preserve">Between the consuming project's root and any submodule that uses</w:t>
      </w:r>
      <w:r>
        <w:t xml:space="preserve"> </w:t>
      </w:r>
      <w:r>
        <w:t xml:space="preserve">this constitution there may be N intermediate levels. The</w:t>
      </w:r>
      <w:r>
        <w:t xml:space="preserve"> </w:t>
      </w:r>
      <w:r>
        <w:rPr>
          <w:rStyle w:val="VerbatimChar"/>
        </w:rPr>
        <w:t xml:space="preserve">find_constitution.sh</w:t>
      </w:r>
      <w:r>
        <w:t xml:space="preserve"> </w:t>
      </w:r>
      <w:r>
        <w:t xml:space="preserve">helper walks up parents until it locates the</w:t>
      </w:r>
      <w:r>
        <w:t xml:space="preserve"> </w:t>
      </w:r>
      <w:r>
        <w:t xml:space="preserve">constitution submodule, so nested submodules can source the helper</w:t>
      </w:r>
      <w:r>
        <w:t xml:space="preserve"> </w:t>
      </w:r>
      <w:r>
        <w:t xml:space="preserve">without knowing their own depth.</w:t>
      </w:r>
    </w:p>
    <w:bookmarkEnd w:id="18"/>
    <w:bookmarkStart w:id="19" w:name="versioning"/>
    <w:p>
      <w:pPr>
        <w:pStyle w:val="Heading2"/>
      </w:pPr>
      <w:r>
        <w:t xml:space="preserve">Versioning</w:t>
      </w:r>
    </w:p>
    <w:p>
      <w:pPr>
        <w:pStyle w:val="FirstParagraph"/>
      </w:pPr>
      <w:r>
        <w:t xml:space="preserve">Tag the constitution at semantically meaningful checkpoints (</w:t>
      </w:r>
      <w:r>
        <w:rPr>
          <w:rStyle w:val="VerbatimChar"/>
        </w:rPr>
        <w:t xml:space="preserve">v1.0.0</w:t>
      </w:r>
      <w:r>
        <w:t xml:space="preserve">,</w:t>
      </w:r>
      <w:r>
        <w:t xml:space="preserve"> </w:t>
      </w:r>
      <w:r>
        <w:rPr>
          <w:rStyle w:val="VerbatimChar"/>
        </w:rPr>
        <w:t xml:space="preserve">v1.1.0</w:t>
      </w:r>
      <w:r>
        <w:t xml:space="preserve">,</w:t>
      </w:r>
      <w:r>
        <w:t xml:space="preserve"> </w:t>
      </w:r>
      <w:r>
        <w:rPr>
          <w:rStyle w:val="VerbatimChar"/>
        </w:rPr>
        <w:t xml:space="preserve">v2.0.0</w:t>
      </w:r>
      <w:r>
        <w:t xml:space="preserve">). Consuming projects pin to a specific tag and</w:t>
      </w:r>
      <w:r>
        <w:t xml:space="preserve"> </w:t>
      </w:r>
      <w:r>
        <w:t xml:space="preserve">upgrade deliberately. Major version bumps mean breaking changes to</w:t>
      </w:r>
      <w:r>
        <w:t xml:space="preserve"> </w:t>
      </w:r>
      <w:r>
        <w:t xml:space="preserve">the universal rules; minor bumps mean additions; patches mean</w:t>
      </w:r>
      <w:r>
        <w:t xml:space="preserve"> </w:t>
      </w:r>
      <w:r>
        <w:t xml:space="preserve">clarifications.</w:t>
      </w:r>
    </w:p>
    <w:p>
      <w:pPr>
        <w:pStyle w:val="BodyText"/>
      </w:pPr>
      <w:r>
        <w:t xml:space="preserve">Per the new §11.4.73 spec-versioning discipline (added 2026-05-20),</w:t>
      </w:r>
      <w:r>
        <w:t xml:space="preserve"> </w:t>
      </w:r>
      <w:r>
        <w:t xml:space="preserve">consuming projects that maintain a main specification document follow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two-axis</w:t>
      </w:r>
      <w:r>
        <w:t xml:space="preserve"> </w:t>
      </w:r>
      <w:r>
        <w:t xml:space="preserve">rule: primary V</w:t>
      </w:r>
      <w:r>
        <w:t xml:space="preserve"> </w:t>
      </w:r>
      <w:r>
        <w:t xml:space="preserve">for major rewrites, secondary</w:t>
      </w:r>
      <w:r>
        <w:t xml:space="preserve"> </w:t>
      </w:r>
      <w:r>
        <w:rPr>
          <w:rStyle w:val="VerbatimChar"/>
        </w:rPr>
        <w:t xml:space="preserve">Revision N</w:t>
      </w:r>
      <w:r>
        <w:t xml:space="preserve"> </w:t>
      </w:r>
      <w:r>
        <w:t xml:space="preserve">(in metadata table) for additive changes within a</w:t>
      </w:r>
      <w:r>
        <w:t xml:space="preserve"> </w:t>
      </w:r>
      <w:r>
        <w:t xml:space="preserve">primary version.</w:t>
      </w:r>
    </w:p>
    <w:bookmarkEnd w:id="19"/>
    <w:bookmarkStart w:id="20" w:name="contributing"/>
    <w:p>
      <w:pPr>
        <w:pStyle w:val="Heading2"/>
      </w:pPr>
      <w:r>
        <w:t xml:space="preserve">Contributing</w:t>
      </w:r>
    </w:p>
    <w:p>
      <w:pPr>
        <w:pStyle w:val="FirstParagraph"/>
      </w:pPr>
      <w:r>
        <w:t xml:space="preserve">Universal status has to be</w:t>
      </w:r>
      <w:r>
        <w:t xml:space="preserve"> </w:t>
      </w:r>
      <w:r>
        <w:rPr>
          <w:b/>
          <w:bCs/>
        </w:rPr>
        <w:t xml:space="preserve">earned</w:t>
      </w:r>
      <w:r>
        <w:t xml:space="preserve">, not assumed. Project-specific</w:t>
      </w:r>
      <w:r>
        <w:t xml:space="preserve"> </w:t>
      </w:r>
      <w:r>
        <w:t xml:space="preserve">content does NOT belong here. When in doubt, classify a rule as</w:t>
      </w:r>
      <w:r>
        <w:t xml:space="preserve"> </w:t>
      </w:r>
      <w:r>
        <w:t xml:space="preserve">project-specific and keep it in the consuming project's own</w:t>
      </w:r>
      <w:r>
        <w:t xml:space="preserve"> </w:t>
      </w:r>
      <w:r>
        <w:t xml:space="preserve">Constitution.</w:t>
      </w:r>
    </w:p>
    <w:p>
      <w:pPr>
        <w:pStyle w:val="BodyText"/>
      </w:pPr>
      <w:r>
        <w:t xml:space="preserve">A rule is</w:t>
      </w:r>
      <w:r>
        <w:t xml:space="preserve"> </w:t>
      </w:r>
      <w:r>
        <w:rPr>
          <w:b/>
          <w:bCs/>
        </w:rPr>
        <w:t xml:space="preserve">universal</w:t>
      </w:r>
      <w:r>
        <w:t xml:space="preserve"> </w:t>
      </w:r>
      <w:r>
        <w:t xml:space="preserve">only if ALL are true:</w:t>
      </w:r>
    </w:p>
    <w:p>
      <w:pPr>
        <w:pStyle w:val="Compact"/>
        <w:numPr>
          <w:ilvl w:val="0"/>
          <w:numId w:val="1003"/>
        </w:numPr>
      </w:pPr>
      <w:r>
        <w:t xml:space="preserve">It would be true for at least 3 unrelated projects across</w:t>
      </w:r>
      <w:r>
        <w:t xml:space="preserve"> </w:t>
      </w:r>
      <w:r>
        <w:t xml:space="preserve">different domains.</w:t>
      </w:r>
    </w:p>
    <w:p>
      <w:pPr>
        <w:pStyle w:val="Compact"/>
        <w:numPr>
          <w:ilvl w:val="0"/>
          <w:numId w:val="1003"/>
        </w:numPr>
      </w:pPr>
      <w:r>
        <w:t xml:space="preserve">It does not reference a specific service / schema / port / topic /</w:t>
      </w:r>
      <w:r>
        <w:t xml:space="preserve"> </w:t>
      </w:r>
      <w:r>
        <w:t xml:space="preserve">table / vendor / hardware unique to one project.</w:t>
      </w:r>
    </w:p>
    <w:p>
      <w:pPr>
        <w:pStyle w:val="Compact"/>
        <w:numPr>
          <w:ilvl w:val="0"/>
          <w:numId w:val="1003"/>
        </w:numPr>
      </w:pPr>
      <w:r>
        <w:t xml:space="preserve">It encodes a</w:t>
      </w:r>
      <w:r>
        <w:t xml:space="preserve"> </w:t>
      </w:r>
      <w:r>
        <w:rPr>
          <w:i/>
          <w:iCs/>
        </w:rPr>
        <w:t xml:space="preserve">policy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principle</w:t>
      </w:r>
      <w:r>
        <w:t xml:space="preserve">, not a</w:t>
      </w:r>
      <w:r>
        <w:t xml:space="preserve"> </w:t>
      </w:r>
      <w:r>
        <w:rPr>
          <w:i/>
          <w:iCs/>
        </w:rPr>
        <w:t xml:space="preserve">configuration value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Removing it from any consuming project would be just as wrong as</w:t>
      </w:r>
      <w:r>
        <w:t xml:space="preserve"> </w:t>
      </w:r>
      <w:r>
        <w:t xml:space="preserve">removing it from any other.</w:t>
      </w:r>
    </w:p>
    <w:p>
      <w:pPr>
        <w:pStyle w:val="FirstParagraph"/>
      </w:pPr>
      <w:r>
        <w:t xml:space="preserve">A rule is</w:t>
      </w:r>
      <w:r>
        <w:t xml:space="preserve"> </w:t>
      </w:r>
      <w:r>
        <w:rPr>
          <w:b/>
          <w:bCs/>
        </w:rPr>
        <w:t xml:space="preserve">project-specific</w:t>
      </w:r>
      <w:r>
        <w:t xml:space="preserve"> </w:t>
      </w:r>
      <w:r>
        <w:t xml:space="preserve">if any are true:</w:t>
      </w:r>
    </w:p>
    <w:p>
      <w:pPr>
        <w:pStyle w:val="Compact"/>
        <w:numPr>
          <w:ilvl w:val="0"/>
          <w:numId w:val="1004"/>
        </w:numPr>
      </w:pPr>
      <w:r>
        <w:t xml:space="preserve">Mentions a specific service, package, topic, table, ML model,</w:t>
      </w:r>
      <w:r>
        <w:t xml:space="preserve"> </w:t>
      </w:r>
      <w:r>
        <w:t xml:space="preserve">protocol version, hardware, or vendor.</w:t>
      </w:r>
    </w:p>
    <w:p>
      <w:pPr>
        <w:pStyle w:val="Compact"/>
        <w:numPr>
          <w:ilvl w:val="0"/>
          <w:numId w:val="1004"/>
        </w:numPr>
      </w:pPr>
      <w:r>
        <w:t xml:space="preserve">Encodes a numeric threshold tuned for one codebase (coverage %,</w:t>
      </w:r>
      <w:r>
        <w:t xml:space="preserve"> </w:t>
      </w:r>
      <w:r>
        <w:t xml:space="preserve">latency SLOs, retry counts).</w:t>
      </w:r>
    </w:p>
    <w:p>
      <w:pPr>
        <w:pStyle w:val="Compact"/>
        <w:numPr>
          <w:ilvl w:val="0"/>
          <w:numId w:val="1004"/>
        </w:numPr>
      </w:pPr>
      <w:r>
        <w:t xml:space="preserve">Describes a workaround for a bug or quirk in a dependency this</w:t>
      </w:r>
      <w:r>
        <w:t xml:space="preserve"> </w:t>
      </w:r>
      <w:r>
        <w:t xml:space="preserve">project uses.</w:t>
      </w:r>
    </w:p>
    <w:bookmarkEnd w:id="20"/>
    <w:bookmarkStart w:id="21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</dc:title>
  <dc:creator/>
  <dc:language>en</dc:language>
  <cp:keywords/>
  <dcterms:created xsi:type="dcterms:W3CDTF">2026-07-24T01:00:07Z</dcterms:created>
  <dcterms:modified xsi:type="dcterms:W3CDTF">2026-07-24T01:00:07Z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