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SOL-01_status_custody</w:t>
      </w:r>
    </w:p>
    <w:bookmarkStart w:id="20" w:name="X097a8affcd0396a0f27ae00fc800e9c48ac3279"/>
    <w:p>
      <w:pPr>
        <w:pStyle w:val="Heading1"/>
      </w:pPr>
      <w:r>
        <w:t xml:space="preserve">SOL-01 — Status Custody at the Database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2026-07-22T20:40:00Z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1 (highest measured leverage)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PC-1 (status-without-custody), PC-9 (partial — evidence preconditions per state), the M6 operator-reopen recording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Seams</w:t>
            </w:r>
          </w:p>
        </w:tc>
        <w:tc>
          <w:tcPr/>
          <w:p>
            <w:pPr>
              <w:pStyle w:val="Compact"/>
            </w:pPr>
            <w:r>
              <w:t xml:space="preserve">status-write (Seam A, in-database triggers) + build (Seam B, full-table sweep)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poc/sol01_status_custody/</w:t>
              </w:r>
            </w:hyperlink>
            <w:r>
              <w:t xml:space="preserve"> </w:t>
            </w:r>
            <w:r>
              <w:t xml:space="preserve">— GREEN 10/10, RED-first transcript in</w:t>
            </w:r>
            <w:r>
              <w:t xml:space="preserve"> </w:t>
            </w:r>
            <w:r>
              <w:rPr>
                <w:rStyle w:val="VerbatimChar"/>
              </w:rPr>
              <w:t xml:space="preserve">evidence/RED.txt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evidence/GREEN.txt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§11.4.146(D3), §11.4.115(F), §11.4.34, §11.4.205</w:t>
            </w:r>
          </w:p>
        </w:tc>
      </w:tr>
    </w:tbl>
    <w:bookmarkStart w:id="10" w:name="Xe483d82e0d47b971a8d36143971ef8eaf5b5643"/>
    <w:p>
      <w:pPr>
        <w:pStyle w:val="Heading2"/>
      </w:pPr>
      <w:r>
        <w:t xml:space="preserve">1. The measured problem this closes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Terminal-status items with ZERO history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 / 108 (48%)</w:t>
            </w:r>
          </w:p>
        </w:tc>
        <w:tc>
          <w:tcPr/>
          <w:p>
            <w:pPr>
              <w:pStyle w:val="Compact"/>
            </w:pPr>
            <w:r>
              <w:t xml:space="preserve">[M2]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Currently-Reopened items with no Reopened 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26</w:t>
            </w:r>
          </w:p>
        </w:tc>
        <w:tc>
          <w:tcPr/>
          <w:p>
            <w:pPr>
              <w:pStyle w:val="Compact"/>
            </w:pPr>
            <w:r>
              <w:t xml:space="preserve">[M4]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item R1: reopen events / terminal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0</w:t>
            </w:r>
            <w:r>
              <w:t xml:space="preserve"> </w:t>
            </w:r>
            <w:r>
              <w:t xml:space="preserve">— an impossible sequence proving ledger bypass</w:t>
            </w:r>
          </w:p>
        </w:tc>
        <w:tc>
          <w:tcPr/>
          <w:p>
            <w:pPr>
              <w:pStyle w:val="Compact"/>
            </w:pPr>
            <w:r>
              <w:t xml:space="preserve">[M5]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Reopen-event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25/25 = "AI", 0 = "User"</w:t>
            </w:r>
            <w:r>
              <w:t xml:space="preserve"> </w:t>
            </w:r>
            <w:r>
              <w:t xml:space="preserve">— while the six operator-driven reopens (the highest-severity escapes in the record) left NO events at all</w:t>
            </w:r>
          </w:p>
        </w:tc>
        <w:tc>
          <w:tcPr/>
          <w:p>
            <w:pPr>
              <w:pStyle w:val="Compact"/>
            </w:pPr>
            <w:r>
              <w:t xml:space="preserve">[M6]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Raw-SQL bypass of the sanctioned mutation tool</w:t>
            </w:r>
          </w:p>
        </w:tc>
        <w:tc>
          <w:tcPr/>
          <w:p>
            <w:pPr>
              <w:pStyle w:val="Compact"/>
            </w:pPr>
            <w:r>
              <w:t xml:space="preserve">proven by 3 independent forensic fingerprints</w:t>
            </w:r>
          </w:p>
        </w:tc>
        <w:tc>
          <w:tcPr/>
          <w:p>
            <w:pPr>
              <w:pStyle w:val="Compact"/>
            </w:pPr>
            <w:r>
              <w:t xml:space="preserve">PC-1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Custody seam designed 2026-07-17, status 2026-07-22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prose</w:t>
            </w:r>
            <w:r>
              <w:t xml:space="preserve"> </w:t>
            </w:r>
            <w:r>
              <w:t xml:space="preserve">— sweep absent, gate absent from both canonical gate sites, ratchet file absent (needled)</w:t>
            </w:r>
          </w:p>
        </w:tc>
        <w:tc>
          <w:tcPr/>
          <w:p>
            <w:pPr>
              <w:pStyle w:val="Compact"/>
            </w:pPr>
            <w:r>
              <w:t xml:space="preserve">[M11]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3 (best-disciplined corpus): terminal statuses without terminal history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~88%</w:t>
            </w:r>
            <w:r>
              <w:t xml:space="preserve"> </w:t>
            </w:r>
            <w:r>
              <w:t xml:space="preserve">— and its one real reopen got no Reopened event either</w:t>
            </w:r>
          </w:p>
        </w:tc>
        <w:tc>
          <w:tcPr/>
          <w:p>
            <w:pPr>
              <w:pStyle w:val="Compact"/>
            </w:pPr>
            <w:r>
              <w:t xml:space="preserve">corpus 3 §2.1, §2.3</w:t>
            </w:r>
          </w:p>
        </w:tc>
      </w:tr>
    </w:tbl>
    <w:p>
      <w:pPr>
        <w:pStyle w:val="BodyText"/>
      </w:pPr>
      <w:r>
        <w:t xml:space="preserve">The class (ROOT_CAUSE PC-1):</w:t>
      </w:r>
      <w:r>
        <w:t xml:space="preserve"> </w:t>
      </w:r>
      <w:r>
        <w:rPr>
          <w:i/>
          <w:iCs/>
        </w:rPr>
        <w:t xml:space="preserve">any SSoT writable outside its audited mutation path will, under</w:t>
      </w:r>
      <w:r>
        <w:rPr>
          <w:i/>
          <w:iCs/>
        </w:rPr>
        <w:t xml:space="preserve"> </w:t>
      </w:r>
      <w:r>
        <w:rPr>
          <w:i/>
          <w:iCs/>
        </w:rPr>
        <w:t xml:space="preserve">deadline pressure, be written outside its audited mutation path.</w:t>
      </w:r>
      <w:r>
        <w:t xml:space="preserve"> </w:t>
      </w:r>
      <w:r>
        <w:t xml:space="preserve">Corpus 3 proves the failure is</w:t>
      </w:r>
      <w:r>
        <w:t xml:space="preserve"> </w:t>
      </w:r>
      <w:r>
        <w:t xml:space="preserve">not a discipline problem — the</w:t>
      </w:r>
      <w:r>
        <w:t xml:space="preserve"> </w:t>
      </w:r>
      <w:r>
        <w:rPr>
          <w:b/>
          <w:bCs/>
        </w:rPr>
        <w:t xml:space="preserve">best</w:t>
      </w:r>
      <w:r>
        <w:t xml:space="preserve">-disciplined corpus in the record still has an 88%</w:t>
      </w:r>
      <w:r>
        <w:t xml:space="preserve"> </w:t>
      </w:r>
      <w:r>
        <w:t xml:space="preserve">history-gap, because the event-writing seam was advisory there too (§11.4.205 test fails in both</w:t>
      </w:r>
      <w:r>
        <w:t xml:space="preserve"> </w:t>
      </w:r>
      <w:r>
        <w:t xml:space="preserve">corpora).</w:t>
      </w:r>
    </w:p>
    <w:bookmarkEnd w:id="10"/>
    <w:bookmarkStart w:id="15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rPr>
          <w:b/>
          <w:bCs/>
        </w:rPr>
        <w:t xml:space="preserve">Move the seam INTO the database file.</w:t>
      </w:r>
      <w:r>
        <w:t xml:space="preserve"> </w:t>
      </w:r>
      <w:r>
        <w:t xml:space="preserve">Three cooperating layers:</w:t>
      </w:r>
    </w:p>
    <w:p>
      <w:pPr>
        <w:pStyle w:val="BodyText"/>
      </w:pPr>
      <w:r>
        <w:drawing>
          <wp:inline>
            <wp:extent cx="5334000" cy="1653267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1_status_custody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Seam A — refusal triggers in the DB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custody_triggers.sql</w:t>
      </w:r>
      <w:r>
        <w:t xml:space="preserve">). A terminal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Fixed</w:t>
      </w:r>
      <w:r>
        <w:t xml:space="preserve">/</w:t>
      </w:r>
      <w:r>
        <w:rPr>
          <w:rStyle w:val="VerbatimChar"/>
        </w:rPr>
        <w:t xml:space="preserve">Implemented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) is</w:t>
      </w:r>
      <w:r>
        <w:t xml:space="preserve"> </w:t>
      </w:r>
      <w:r>
        <w:rPr>
          <w:i/>
          <w:iCs/>
        </w:rPr>
        <w:t xml:space="preserve">unwritable</w:t>
      </w:r>
      <w:r>
        <w:t xml:space="preserve"> </w:t>
      </w:r>
      <w:r>
        <w:t xml:space="preserve">unless the custody chain exists AS ROWS:</w:t>
      </w:r>
      <w:r>
        <w:t xml:space="preserve"> </w:t>
      </w:r>
      <w:r>
        <w:t xml:space="preserve">registry row keyed by the exact item id → RED verdict (</w:t>
      </w:r>
      <w:r>
        <w:rPr>
          <w:rStyle w:val="VerbatimChar"/>
        </w:rPr>
        <w:t xml:space="preserve">exit≠0</w:t>
      </w:r>
      <w:r>
        <w:t xml:space="preserve">) → GREEN verdict (</w:t>
      </w:r>
      <w:r>
        <w:rPr>
          <w:rStyle w:val="VerbatimChar"/>
        </w:rPr>
        <w:t xml:space="preserve">exit=0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artifact fingerprint (identical fingerprints = fix never deployed,</w:t>
      </w:r>
      <w:r>
        <w:t xml:space="preserve"> </w:t>
      </w:r>
      <w:r>
        <w:t xml:space="preserve">§11.4.115(F)). A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flip is unwritable without a staged attribution row</w:t>
      </w:r>
      <w:r>
        <w:t xml:space="preserve"> </w:t>
      </w:r>
      <w:r>
        <w:t xml:space="preserve">(By ∈ {AI, User} + Reason + Evidence, §11.4.34).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historian is the database, not the writer</w:t>
      </w:r>
      <w:r>
        <w:t xml:space="preserve"> </w:t>
      </w:r>
      <w:r>
        <w:t xml:space="preserve">(trigger T3). Every status change writes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 as a side effect of the UPDATE itself. "Status moved with zero</w:t>
      </w:r>
      <w:r>
        <w:t xml:space="preserve"> </w:t>
      </w:r>
      <w:r>
        <w:t xml:space="preserve">history rows" becomes</w:t>
      </w:r>
      <w:r>
        <w:t xml:space="preserve"> </w:t>
      </w:r>
      <w:r>
        <w:rPr>
          <w:i/>
          <w:iCs/>
        </w:rPr>
        <w:t xml:space="preserve">impossible by construction</w:t>
      </w:r>
      <w:r>
        <w:t xml:space="preserve"> </w:t>
      </w:r>
      <w:r>
        <w:t xml:space="preserve">on a triggered DB — including for raw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writers, ad-hoc scripts, and writers that do not exist yet. T4/T5 make the ledger</w:t>
      </w:r>
      <w:r>
        <w:t xml:space="preserve"> </w:t>
      </w:r>
      <w:r>
        <w:t xml:space="preserve">append-only.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Seam B — full-table sweep at every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custody_sweep.sh</w:t>
      </w:r>
      <w:r>
        <w:t xml:space="preserve">). Catches what triggers</w:t>
      </w:r>
      <w:r>
        <w:t xml:space="preserve"> </w:t>
      </w:r>
      <w:r>
        <w:t xml:space="preserve">cannot: legacy DBs predating the triggers, or DBs whose triggers were dropped (dropping a</w:t>
      </w:r>
      <w:r>
        <w:t xml:space="preserve"> </w:t>
      </w:r>
      <w:r>
        <w:t xml:space="preserve">trigger IS possible for a determined writer — see §5). Four checks, each mapped to a measured</w:t>
      </w:r>
      <w:r>
        <w:t xml:space="preserve"> </w:t>
      </w:r>
      <w:r>
        <w:t xml:space="preserve">class: C1 = the M2 zero-history class, C2 = the M4 no-reopen-event class, C3 = the M5</w:t>
      </w:r>
      <w:r>
        <w:t xml:space="preserve"> </w:t>
      </w:r>
      <w:r>
        <w:t xml:space="preserve">impossible-sequence class, C4 = the M7 unguarded-done class. The sweep control-needles itself</w:t>
      </w:r>
      <w:r>
        <w:t xml:space="preserve"> </w:t>
      </w:r>
      <w:r>
        <w:t xml:space="preserve">(an empty/unreadable items table exits 2</w:t>
      </w:r>
      <w:r>
        <w:t xml:space="preserve"> </w:t>
      </w:r>
      <w:r>
        <w:rPr>
          <w:rStyle w:val="VerbatimChar"/>
        </w:rPr>
        <w:t xml:space="preserve">SWEEP-BLIND</w:t>
      </w:r>
      <w:r>
        <w:t xml:space="preserve">, never PASS — §11.4.201(7)(b)).</w:t>
      </w:r>
    </w:p>
    <w:p>
      <w:pPr>
        <w:pStyle w:val="FirstParagraph"/>
      </w:pPr>
      <w:r>
        <w:rPr>
          <w:b/>
          <w:bCs/>
        </w:rPr>
        <w:t xml:space="preserve">Why the database layer and not the tool layer:</w:t>
      </w:r>
      <w:r>
        <w:t xml:space="preserve"> </w:t>
      </w:r>
      <w:r>
        <w:t xml:space="preserve">PC-1's forensics proved the sanctioned tool</w:t>
      </w:r>
      <w:r>
        <w:t xml:space="preserve"> </w:t>
      </w:r>
      <w:r>
        <w:t xml:space="preserve">was already structurally incapable of the custody-free write —</w:t>
      </w:r>
      <w:r>
        <w:t xml:space="preserve"> </w:t>
      </w:r>
      <w:r>
        <w:rPr>
          <w:i/>
          <w:iCs/>
        </w:rPr>
        <w:t xml:space="preserve">and the write happened anyway</w:t>
      </w:r>
      <w:r>
        <w:t xml:space="preserve">,</w:t>
      </w:r>
      <w:r>
        <w:t xml:space="preserve"> </w:t>
      </w:r>
      <w:r>
        <w:t xml:space="preserve">because the tool is optional and raw SQL is not. A trigger binds every connection to the file.</w:t>
      </w:r>
      <w:r>
        <w:t xml:space="preserve"> </w:t>
      </w:r>
      <w:r>
        <w:t xml:space="preserve">This is the §11.4.205 "if I documented this and nobody implemented the hook, would anything</w:t>
      </w:r>
      <w:r>
        <w:t xml:space="preserve"> </w:t>
      </w:r>
      <w:r>
        <w:t xml:space="preserve">catch it?" test answered at the strongest available layer: the enforcement travels</w:t>
      </w:r>
      <w:r>
        <w:t xml:space="preserve"> </w:t>
      </w:r>
      <w:r>
        <w:rPr>
          <w:b/>
          <w:bCs/>
        </w:rPr>
        <w:t xml:space="preserve">with the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, through clones, copies, and CoW tracks.</w:t>
      </w:r>
    </w:p>
    <w:bookmarkStart w:id="14" w:name="the-m6-operator-channel-fix-specifically"/>
    <w:p>
      <w:pPr>
        <w:pStyle w:val="Heading3"/>
      </w:pPr>
      <w:r>
        <w:t xml:space="preserve">The M6 operator-channel fix specifically</w:t>
      </w:r>
    </w:p>
    <w:p>
      <w:pPr>
        <w:pStyle w:val="FirstParagraph"/>
      </w:pPr>
      <w:r>
        <w:t xml:space="preserve">The highest-value detection channel (operator reopens — 6/6 of the worst escapes) was the least</w:t>
      </w:r>
      <w:r>
        <w:t xml:space="preserve"> </w:t>
      </w:r>
      <w:r>
        <w:t xml:space="preserve">recorded (0 events). Under SOL-01 that inverts: the operator (or the agent acting on the</w:t>
      </w:r>
      <w:r>
        <w:t xml:space="preserve"> </w:t>
      </w:r>
      <w:r>
        <w:t xml:space="preserve">operator's report) stages one row —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reopen_intake(atm_id, by_actor, reason, evidence_path)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'ATM-XXX'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'manual-testing-detected'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'qa/operator_note.md'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'Reopened'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atm_id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'ATM-XXX'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— and the flip both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the attribution. No staged row ⇒ the flip itself</w:t>
      </w:r>
      <w:r>
        <w:t xml:space="preserve"> </w:t>
      </w:r>
      <w:r>
        <w:t xml:space="preserve">fails loudly at the point of work, which is the only moment the attribution is still knowable.</w:t>
      </w:r>
    </w:p>
    <w:bookmarkEnd w:id="14"/>
    <w:bookmarkEnd w:id="15"/>
    <w:bookmarkStart w:id="16" w:name="X4a912c4581e6f7a8c1e343916f28bd51d76b748"/>
    <w:p>
      <w:pPr>
        <w:pStyle w:val="Heading2"/>
      </w:pPr>
      <w:r>
        <w:t xml:space="preserve">3. POC results (all in</w:t>
      </w:r>
      <w:r>
        <w:t xml:space="preserve"> </w:t>
      </w:r>
      <w:r>
        <w:rPr>
          <w:rStyle w:val="VerbatimChar"/>
        </w:rPr>
        <w:t xml:space="preserve">poc/sol01_status_custody/</w:t>
      </w:r>
      <w:r>
        <w:t xml:space="preserve">)</w:t>
      </w:r>
    </w:p>
    <w:p>
      <w:pPr>
        <w:pStyle w:val="FirstParagraph"/>
      </w:pPr>
      <w:r>
        <w:t xml:space="preserve">RED first (§11.4.224):</w:t>
      </w:r>
      <w:r>
        <w:t xml:space="preserve"> </w:t>
      </w:r>
      <w:r>
        <w:rPr>
          <w:rStyle w:val="VerbatimChar"/>
        </w:rPr>
        <w:t xml:space="preserve">evidence/RED.txt</w:t>
      </w:r>
      <w:r>
        <w:t xml:space="preserve"> </w:t>
      </w:r>
      <w:r>
        <w:t xml:space="preserve">— test run before any implementation existed, exit 1,</w:t>
      </w:r>
      <w:r>
        <w:t xml:space="preserve"> </w:t>
      </w:r>
      <w:r>
        <w:t xml:space="preserve">3 missing artifacts. Then implementation;</w:t>
      </w:r>
      <w:r>
        <w:t xml:space="preserve"> </w:t>
      </w:r>
      <w:r>
        <w:rPr>
          <w:rStyle w:val="VerbatimChar"/>
        </w:rPr>
        <w:t xml:space="preserve">evidence/GREEN.txt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10/10 PASS, exit 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A1–A3</w:t>
            </w:r>
          </w:p>
        </w:tc>
        <w:tc>
          <w:tcPr/>
          <w:p>
            <w:pPr>
              <w:pStyle w:val="Compact"/>
            </w:pPr>
            <w:r>
              <w:t xml:space="preserve">golden-good: full chain → write succeeds, history auto-row, sweep PASS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golden-bad: raw un-evidenced terminal UPDATE →</w:t>
            </w:r>
            <w:r>
              <w:t xml:space="preserve"> </w:t>
            </w:r>
            <w:r>
              <w:rPr>
                <w:rStyle w:val="VerbatimChar"/>
              </w:rPr>
              <w:t xml:space="preserve">CUSTODY-REFUSED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golden-bad: legacy DB, terminal item, zero history → sweep FAILs naming the item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negative-control: ordinary open item → sweep does NOT flag (§11.4.201(1) guard)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E1/E2</w:t>
            </w:r>
          </w:p>
        </w:tc>
        <w:tc>
          <w:tcPr/>
          <w:p>
            <w:pPr>
              <w:pStyle w:val="Compact"/>
            </w:pPr>
            <w:r>
              <w:t xml:space="preserve">reopen path: un-staged flip refused; staged User flip recorded</w:t>
            </w:r>
            <w:r>
              <w:t xml:space="preserve"> </w:t>
            </w:r>
            <w:r>
              <w:rPr>
                <w:rStyle w:val="VerbatimChar"/>
              </w:rPr>
              <w:t xml:space="preserve">by_actor=User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append-only ledger: history UPDATE refused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golden-bad: identical RED/GREEN fingerprints → terminal refused (§11.4.115(F))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6"/>
    <w:bookmarkStart w:id="17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On a triggered database:</w:t>
      </w:r>
    </w:p>
    <w:p>
      <w:pPr>
        <w:pStyle w:val="Compact"/>
        <w:numPr>
          <w:ilvl w:val="0"/>
          <w:numId w:val="1002"/>
        </w:numPr>
      </w:pPr>
      <w:r>
        <w:t xml:space="preserve">A terminal status with no history row</w:t>
      </w:r>
      <w:r>
        <w:t xml:space="preserve"> </w:t>
      </w:r>
      <w:r>
        <w:rPr>
          <w:b/>
          <w:bCs/>
        </w:rPr>
        <w:t xml:space="preserve">cannot exist</w:t>
      </w:r>
      <w:r>
        <w:t xml:space="preserve"> </w:t>
      </w:r>
      <w:r>
        <w:t xml:space="preserve">(T3 writes it in the same statement).</w:t>
      </w:r>
    </w:p>
    <w:p>
      <w:pPr>
        <w:pStyle w:val="Compact"/>
        <w:numPr>
          <w:ilvl w:val="0"/>
          <w:numId w:val="1002"/>
        </w:numPr>
      </w:pPr>
      <w:r>
        <w:t xml:space="preserve">A terminal status without a registered guard + distinct-fingerprint RED/GREEN pair</w:t>
      </w:r>
      <w:r>
        <w:t xml:space="preserve"> </w:t>
      </w:r>
      <w:r>
        <w:rPr>
          <w:b/>
          <w:bCs/>
        </w:rPr>
        <w:t xml:space="preserve">cannot be</w:t>
      </w:r>
      <w:r>
        <w:rPr>
          <w:b/>
          <w:bCs/>
        </w:rPr>
        <w:t xml:space="preserve"> </w:t>
      </w:r>
      <w:r>
        <w:rPr>
          <w:b/>
          <w:bCs/>
        </w:rPr>
        <w:t xml:space="preserve">written</w:t>
      </w:r>
      <w:r>
        <w:t xml:space="preserve"> </w:t>
      </w:r>
      <w:r>
        <w:t xml:space="preserve">— by any writer, sanctioned or not (T1).</w:t>
      </w:r>
    </w:p>
    <w:p>
      <w:pPr>
        <w:pStyle w:val="Compact"/>
        <w:numPr>
          <w:ilvl w:val="0"/>
          <w:numId w:val="1002"/>
        </w:numPr>
      </w:pPr>
      <w:r>
        <w:t xml:space="preserve">A reopen without By/Reason/Evidence attribution</w:t>
      </w:r>
      <w:r>
        <w:t xml:space="preserve"> </w:t>
      </w:r>
      <w:r>
        <w:rPr>
          <w:b/>
          <w:bCs/>
        </w:rPr>
        <w:t xml:space="preserve">cannot be written</w:t>
      </w:r>
      <w:r>
        <w:t xml:space="preserve"> </w:t>
      </w:r>
      <w:r>
        <w:t xml:space="preserve">(T2) — the M6 bias</w:t>
      </w:r>
      <w:r>
        <w:t xml:space="preserve"> </w:t>
      </w:r>
      <w:r>
        <w:t xml:space="preserve">channel (operator reopens leaving no trail) is closed at the only seam it crosses.</w:t>
      </w:r>
    </w:p>
    <w:p>
      <w:pPr>
        <w:pStyle w:val="Compact"/>
        <w:numPr>
          <w:ilvl w:val="0"/>
          <w:numId w:val="1002"/>
        </w:numPr>
      </w:pPr>
      <w:r>
        <w:t xml:space="preserve">The audit ledger</w:t>
      </w:r>
      <w:r>
        <w:t xml:space="preserve"> </w:t>
      </w:r>
      <w:r>
        <w:rPr>
          <w:b/>
          <w:bCs/>
        </w:rPr>
        <w:t xml:space="preserve">cannot be edited or pruned</w:t>
      </w:r>
      <w:r>
        <w:t xml:space="preserve"> </w:t>
      </w:r>
      <w:r>
        <w:t xml:space="preserve">(T4/T5).</w:t>
      </w:r>
    </w:p>
    <w:p>
      <w:pPr>
        <w:pStyle w:val="Compact"/>
        <w:numPr>
          <w:ilvl w:val="0"/>
          <w:numId w:val="1002"/>
        </w:numPr>
      </w:pPr>
      <w:r>
        <w:t xml:space="preserve">A legacy or trigger-stripped DB</w:t>
      </w:r>
      <w:r>
        <w:t xml:space="preserve"> </w:t>
      </w:r>
      <w:r>
        <w:rPr>
          <w:b/>
          <w:bCs/>
        </w:rPr>
        <w:t xml:space="preserve">cannot pass the build</w:t>
      </w:r>
      <w:r>
        <w:t xml:space="preserve"> </w:t>
      </w:r>
      <w:r>
        <w:t xml:space="preserve">while holding any of the four</w:t>
      </w:r>
      <w:r>
        <w:t xml:space="preserve"> </w:t>
      </w:r>
      <w:r>
        <w:t xml:space="preserve">measured violation classes (Seam B sweep, wired at pre-build).</w:t>
      </w:r>
    </w:p>
    <w:p>
      <w:pPr>
        <w:pStyle w:val="FirstParagraph"/>
      </w:pPr>
      <w:r>
        <w:t xml:space="preserve">Had this existed during the measured window: all 52 zero-history terminal items [M2], the R1</w:t>
      </w:r>
      <w:r>
        <w:t xml:space="preserve"> </w:t>
      </w:r>
      <w:r>
        <w:t xml:space="preserve">4/0 impossible sequence [M5], and the 25/25-"AI" attribution bias [M6] are refused at write</w:t>
      </w:r>
      <w:r>
        <w:t xml:space="preserve"> </w:t>
      </w:r>
      <w:r>
        <w:t xml:space="preserve">time; the 6/6-broken operator sample [ROOT_CAUSE §1] becomes structurally impossible to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because the items could never have carried terminal statuses without verdict pairs.</w:t>
      </w:r>
    </w:p>
    <w:bookmarkEnd w:id="17"/>
    <w:bookmarkStart w:id="18" w:name="X208b2d49fadd78f1bdcf2fb4f7e3dfc6fc87c6a"/>
    <w:p>
      <w:pPr>
        <w:pStyle w:val="Heading2"/>
      </w:pPr>
      <w:r>
        <w:t xml:space="preserve">5. What it still does NOT catch (honest boundary, §11.4.6)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Fabricated evidence rows.</w:t>
      </w:r>
      <w:r>
        <w:t xml:space="preserve"> </w:t>
      </w:r>
      <w:r>
        <w:t xml:space="preserve">A writer can INSERT fake verdict rows (a RED that never ran)</w:t>
      </w:r>
      <w:r>
        <w:t xml:space="preserve"> </w:t>
      </w:r>
      <w:r>
        <w:t xml:space="preserve">and then close the item. The triggers verify chain</w:t>
      </w:r>
      <w:r>
        <w:t xml:space="preserve"> </w:t>
      </w:r>
      <w:r>
        <w:rPr>
          <w:i/>
          <w:iCs/>
        </w:rPr>
        <w:t xml:space="preserve">shape</w:t>
      </w:r>
      <w:r>
        <w:t xml:space="preserve">, not chain</w:t>
      </w:r>
      <w:r>
        <w:t xml:space="preserve"> </w:t>
      </w:r>
      <w:r>
        <w:rPr>
          <w:i/>
          <w:iCs/>
        </w:rPr>
        <w:t xml:space="preserve">truth</w:t>
      </w:r>
      <w:r>
        <w:t xml:space="preserve"> </w:t>
      </w:r>
      <w:r>
        <w:t xml:space="preserve">— truth is</w:t>
      </w:r>
      <w:r>
        <w:t xml:space="preserve"> </w:t>
      </w:r>
      <w:r>
        <w:t xml:space="preserve">SOL-04's job (evidence-class matching) + SOL-02's (verdicts keyed to real artifact</w:t>
      </w:r>
      <w:r>
        <w:t xml:space="preserve"> </w:t>
      </w:r>
      <w:r>
        <w:t xml:space="preserve">fingerprints consumed at release) + the §1.1 mutation discipline (a guard never observed</w:t>
      </w:r>
      <w:r>
        <w:t xml:space="preserve"> </w:t>
      </w:r>
      <w:r>
        <w:t xml:space="preserve">failing mints nothing). Layered, not duplicated.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DROP TRIGGER</w:t>
      </w:r>
      <w:r>
        <w:rPr>
          <w:b/>
          <w:bCs/>
        </w:rPr>
        <w:t xml:space="preserve">.</w:t>
      </w:r>
      <w:r>
        <w:t xml:space="preserve"> </w:t>
      </w:r>
      <w:r>
        <w:t xml:space="preserve">SQLite has no in-file privilege separation; a determined writer can drop</w:t>
      </w:r>
      <w:r>
        <w:t xml:space="preserve"> </w:t>
      </w:r>
      <w:r>
        <w:t xml:space="preserve">the triggers. That act is (a) loud in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of the tracked DB (§11.4.95 — the DB is</w:t>
      </w:r>
      <w:r>
        <w:t xml:space="preserve"> </w:t>
      </w:r>
      <w:r>
        <w:t xml:space="preserve">tracked), (b) caught by Seam B, whose first check on a supposedly-triggered DB can assert</w:t>
      </w:r>
      <w:r>
        <w:t xml:space="preserve"> </w:t>
      </w:r>
      <w:r>
        <w:t xml:space="preserve">trigger presence (</w:t>
      </w:r>
      <w:r>
        <w:rPr>
          <w:rStyle w:val="VerbatimChar"/>
        </w:rPr>
        <w:t xml:space="preserve">SELECT count(*) FROM sqlite_master WHERE type='trigger'</w:t>
      </w:r>
      <w:r>
        <w:t xml:space="preserve"> </w:t>
      </w:r>
      <w:r>
        <w:t xml:space="preserve">— a consumer</w:t>
      </w:r>
      <w:r>
        <w:t xml:space="preserve"> </w:t>
      </w:r>
      <w:r>
        <w:t xml:space="preserve">integration should add this; the POC sweep catches the</w:t>
      </w:r>
      <w:r>
        <w:t xml:space="preserve"> </w:t>
      </w:r>
      <w:r>
        <w:rPr>
          <w:i/>
          <w:iCs/>
        </w:rPr>
        <w:t xml:space="preserve">consequences</w:t>
      </w:r>
      <w:r>
        <w:t xml:space="preserve"> </w:t>
      </w:r>
      <w:r>
        <w:t xml:space="preserve">instead). Defense in</w:t>
      </w:r>
      <w:r>
        <w:t xml:space="preserve"> </w:t>
      </w:r>
      <w:r>
        <w:t xml:space="preserve">depth, not a wall.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Semantic quality of the closure.</w:t>
      </w:r>
      <w:r>
        <w:t xml:space="preserve"> </w:t>
      </w:r>
      <w:r>
        <w:t xml:space="preserve">The chain proves custody, not that the guard's oracle is</w:t>
      </w:r>
      <w:r>
        <w:t xml:space="preserve"> </w:t>
      </w:r>
      <w:r>
        <w:t xml:space="preserve">calibrated (§11.4.107(10) goldens remain necessary-not-sufficient — §11.4.146(D3) honest</w:t>
      </w:r>
      <w:r>
        <w:t xml:space="preserve"> </w:t>
      </w:r>
      <w:r>
        <w:t xml:space="preserve">boundary carried forward verbatim).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Obsolete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— different evidence shape (obsolete-details), out of POC scope,</w:t>
      </w:r>
      <w:r>
        <w:t xml:space="preserve"> </w:t>
      </w:r>
      <w:r>
        <w:t xml:space="preserve">stated here; the same trigger pattern extends to it mechanically.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WAL/concurrency behaviour under many writers</w:t>
      </w:r>
      <w:r>
        <w:t xml:space="preserve"> </w:t>
      </w:r>
      <w:r>
        <w:t xml:space="preserve">was not stress-tested in this POC</w:t>
      </w:r>
      <w:r>
        <w:t xml:space="preserve"> </w:t>
      </w:r>
      <w:r>
        <w:t xml:space="preserve">(UNPROVEN: trigger throughput under 10 concurrent writers; the §11.4.85 stress suite is owed</w:t>
      </w:r>
      <w:r>
        <w:t xml:space="preserve"> </w:t>
      </w:r>
      <w:r>
        <w:t xml:space="preserve">at integration time).</w:t>
      </w:r>
    </w:p>
    <w:bookmarkEnd w:id="18"/>
    <w:bookmarkStart w:id="19" w:name="Xf39967f4b73a482e45cba520f0910953b407291"/>
    <w:p>
      <w:pPr>
        <w:pStyle w:val="Heading2"/>
      </w:pPr>
      <w:r>
        <w:t xml:space="preserve">6. Integration path (separate tracked work item — this POC carries no force per §11.4.205)</w:t>
      </w:r>
    </w:p>
    <w:p>
      <w:pPr>
        <w:pStyle w:val="Compact"/>
        <w:numPr>
          <w:ilvl w:val="0"/>
          <w:numId w:val="1004"/>
        </w:numPr>
      </w:pPr>
      <w:r>
        <w:t xml:space="preserve">Apply the trigger pack to the consuming project's tracked DB</w:t>
      </w:r>
      <w:r>
        <w:t xml:space="preserve"> </w:t>
      </w:r>
      <w:r>
        <w:rPr>
          <w:b/>
          <w:bCs/>
        </w:rPr>
        <w:t xml:space="preserve">in the same commit</w:t>
      </w:r>
      <w:r>
        <w:t xml:space="preserve"> </w:t>
      </w:r>
      <w:r>
        <w:t xml:space="preserve">as wiring</w:t>
      </w:r>
      <w:r>
        <w:t xml:space="preserve"> </w:t>
      </w:r>
      <w:r>
        <w:rPr>
          <w:rStyle w:val="VerbatimChar"/>
        </w:rPr>
        <w:t xml:space="preserve">custody_sweep.sh</w:t>
      </w:r>
      <w:r>
        <w:t xml:space="preserve"> </w:t>
      </w:r>
      <w:r>
        <w:t xml:space="preserve">into the pre-build suite (the §11.4.205 construction order: the executable</w:t>
      </w:r>
      <w:r>
        <w:t xml:space="preserve"> </w:t>
      </w:r>
      <w:r>
        <w:t xml:space="preserve">sweep + its golden-bad fixture land WITH the governance text citing them).</w:t>
      </w:r>
    </w:p>
    <w:p>
      <w:pPr>
        <w:pStyle w:val="Compact"/>
        <w:numPr>
          <w:ilvl w:val="0"/>
          <w:numId w:val="1004"/>
        </w:numPr>
      </w:pPr>
      <w:r>
        <w:t xml:space="preserve">Adoption of the legacy backlog (52 zero-history items already terminal) is an OPERATOR</w:t>
      </w:r>
      <w:r>
        <w:t xml:space="preserve"> </w:t>
      </w:r>
      <w:r>
        <w:t xml:space="preserve">decision per §11.4.66 — options: retro-annotate with</w:t>
      </w:r>
      <w:r>
        <w:t xml:space="preserve"> </w:t>
      </w:r>
      <w:r>
        <w:rPr>
          <w:rStyle w:val="VerbatimChar"/>
        </w:rPr>
        <w:t xml:space="preserve">UNATTRIBUTED-LEGACY</w:t>
      </w:r>
      <w:r>
        <w:t xml:space="preserve"> </w:t>
      </w:r>
      <w:r>
        <w:t xml:space="preserve">history rows, or a</w:t>
      </w:r>
      <w:r>
        <w:t xml:space="preserve"> </w:t>
      </w:r>
      <w:r>
        <w:t xml:space="preserve">one-time §11.4.135-style monotone ratchet on C1 findings. Never an invented ratchet.</w:t>
      </w:r>
    </w:p>
    <w:p>
      <w:pPr>
        <w:pStyle w:val="Compact"/>
        <w:numPr>
          <w:ilvl w:val="0"/>
          <w:numId w:val="1004"/>
        </w:numPr>
      </w:pPr>
      <w:r>
        <w:t xml:space="preserve">Map real vocabulary (the</w:t>
      </w:r>
      <w:r>
        <w:t xml:space="preserve"> </w:t>
      </w:r>
      <w:r>
        <w:rPr>
          <w:rStyle w:val="VerbatimChar"/>
        </w:rPr>
        <w:t xml:space="preserve">(→ Fixed.md)</w:t>
      </w:r>
      <w:r>
        <w:t xml:space="preserve"> </w:t>
      </w:r>
      <w:r>
        <w:t xml:space="preserve">suffixed literals) and the real verdict store paths</w:t>
      </w:r>
      <w:r>
        <w:t xml:space="preserve"> </w:t>
      </w:r>
      <w:r>
        <w:t xml:space="preserve">as consumer DATA (§11.4.35).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1_status_custod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1_status_custod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SOL-01_status_custody</dc:title>
  <dc:creator/>
  <dc:language>en</dc:language>
  <cp:keywords/>
  <dcterms:created xsi:type="dcterms:W3CDTF">2026-07-24T00:59:34Z</dcterms:created>
  <dcterms:modified xsi:type="dcterms:W3CDTF">2026-07-24T00:59:34Z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