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SOL-06_anchor_integrity</w:t>
      </w:r>
    </w:p>
    <w:bookmarkStart w:id="15" w:name="Xe043389c8f079191cb3da96e42c8bf8a610161a"/>
    <w:p>
      <w:pPr>
        <w:pStyle w:val="Heading1"/>
      </w:pPr>
      <w:r>
        <w:t xml:space="preserve">SOL-06 — Anchor-Block Integrity Gate (the Propagation-Gate Shape Fix)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2026-07-22T21:35:00Z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M13 (duplicated-divergent anchors green under presence≥1), MU-4 (contradicting canonical rules — the decidable subset)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build (governance-file gate) + governance-commit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poc/sol06_anchor_integrity/</w:t>
              </w:r>
            </w:hyperlink>
            <w:r>
              <w:t xml:space="preserve"> </w:t>
            </w:r>
            <w:r>
              <w:t xml:space="preserve">— GREEN 5/5, RED-first,</w:t>
            </w:r>
            <w:r>
              <w:t xml:space="preserve"> </w:t>
            </w:r>
            <w:r>
              <w:rPr>
                <w:b/>
                <w:bCs/>
              </w:rPr>
              <w:t xml:space="preserve">plus a second RED→GREEN loop for a false positive the live run exposed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CM-COVENANT-*-PROPAGATION</w:t>
            </w:r>
            <w:r>
              <w:t xml:space="preserve"> </w:t>
            </w:r>
            <w:r>
              <w:t xml:space="preserve">family's shape, §11.4.201(1)(7)(a), §11.4.157 lockstep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anchor blocks duplicated verbatim-divergently</w:t>
      </w:r>
      <w:r>
        <w:t xml:space="preserve"> </w:t>
      </w:r>
      <w:r>
        <w:t xml:space="preserve">in the canonical agent-facing mirror —</w:t>
      </w:r>
      <w:r>
        <w:t xml:space="preserve"> </w:t>
      </w:r>
      <w:r>
        <w:t xml:space="preserve">§11.4.208 and §11.4.209 each appeared TWICE (an earlier compact variant AND a fuller verbatim</w:t>
      </w:r>
      <w:r>
        <w:t xml:space="preserve"> </w:t>
      </w:r>
      <w:r>
        <w:t xml:space="preserve">variant, the two divergent from each other)</w:t>
      </w:r>
      <w:r>
        <w:t xml:space="preserve"> </w:t>
      </w:r>
      <w:r>
        <w:rPr>
          <w:b/>
          <w:bCs/>
        </w:rPr>
        <w:t xml:space="preserve">in all four mirrors</w:t>
      </w:r>
      <w:r>
        <w:t xml:space="preserve">, undetected because every</w:t>
      </w:r>
      <w:r>
        <w:t xml:space="preserve"> </w:t>
      </w:r>
      <w:r>
        <w:t xml:space="preserve">propagation gate asserts literal-presence ≥ 1 [M13; constitution CLAUDE.md F7 remediation</w:t>
      </w:r>
      <w:r>
        <w:t xml:space="preserve"> </w:t>
      </w:r>
      <w:r>
        <w:t xml:space="preserve">note]. A duplicated-divergent anchor</w:t>
      </w:r>
      <w:r>
        <w:t xml:space="preserve"> </w:t>
      </w:r>
      <w:r>
        <w:rPr>
          <w:i/>
          <w:iCs/>
        </w:rPr>
        <w:t xml:space="preserve">satisfies</w:t>
      </w:r>
      <w:r>
        <w:t xml:space="preserve"> </w:t>
      </w:r>
      <w:r>
        <w:t xml:space="preserve">a presence check — the §11.4.201 false-</w:t>
      </w:r>
      <w:r>
        <w:t xml:space="preserve"> </w:t>
      </w:r>
      <w:r>
        <w:t xml:space="preserve">negative shape inside the governance layer itself.</w:t>
      </w:r>
    </w:p>
    <w:p>
      <w:pPr>
        <w:pStyle w:val="Compact"/>
        <w:numPr>
          <w:ilvl w:val="0"/>
          <w:numId w:val="1001"/>
        </w:numPr>
      </w:pPr>
      <w:r>
        <w:t xml:space="preserve">The corpus measures its own health in words-present, so it grows words (ROOT_CAUSE §5.3);</w:t>
      </w:r>
      <w:r>
        <w:t xml:space="preserve"> </w:t>
      </w:r>
      <w:r>
        <w:t xml:space="preserve">presence-shaped gates mechanically reward restatement.</w:t>
      </w:r>
    </w:p>
    <w:p>
      <w:pPr>
        <w:pStyle w:val="Compact"/>
        <w:numPr>
          <w:ilvl w:val="0"/>
          <w:numId w:val="1001"/>
        </w:numPr>
      </w:pPr>
      <w:r>
        <w:t xml:space="preserve">MU-4: two canonical entry-point mandates contradict; nothing mechanical checks inter-anchor</w:t>
      </w:r>
      <w:r>
        <w:t xml:space="preserve"> </w:t>
      </w:r>
      <w:r>
        <w:t xml:space="preserve">consistency at all [M19].</w:t>
      </w:r>
    </w:p>
    <w:bookmarkEnd w:id="10"/>
    <w:bookmarkStart w:id="11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Fix the</w:t>
      </w:r>
      <w:r>
        <w:t xml:space="preserve"> </w:t>
      </w:r>
      <w:r>
        <w:rPr>
          <w:b/>
          <w:bCs/>
        </w:rPr>
        <w:t xml:space="preserve">gate shape</w:t>
      </w:r>
      <w:r>
        <w:t xml:space="preserve">, not the instance: a propagation gate must count</w:t>
      </w:r>
      <w:r>
        <w:t xml:space="preserve"> </w:t>
      </w:r>
      <w:r>
        <w:rPr>
          <w:b/>
          <w:bCs/>
        </w:rPr>
        <w:t xml:space="preserve">block-starts</w:t>
      </w:r>
      <w:r>
        <w:t xml:space="preserve"> </w:t>
      </w:r>
      <w:r>
        <w:t xml:space="preserve">(a</w:t>
      </w:r>
      <w:r>
        <w:t xml:space="preserve"> </w:t>
      </w:r>
      <w:r>
        <w:t xml:space="preserve">structural pattern —</w:t>
      </w:r>
      <w:r>
        <w:t xml:space="preserve"> </w:t>
      </w:r>
      <w:r>
        <w:rPr>
          <w:rStyle w:val="VerbatimChar"/>
        </w:rPr>
        <w:t xml:space="preserve">**§11.4.N —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 §11.4.N</w:t>
      </w:r>
      <w:r>
        <w:t xml:space="preserve"> </w:t>
      </w:r>
      <w:r>
        <w:t xml:space="preserve">at line start), never bare literals, and: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 == 1 per anchor per file</w:t>
      </w:r>
      <w:r>
        <w:t xml:space="preserve"> </w:t>
      </w:r>
      <w:r>
        <w:t xml:space="preserve">— 0 is the old absence check,</w:t>
      </w:r>
      <w:r>
        <w:t xml:space="preserve"> </w:t>
      </w:r>
      <w:r>
        <w:rPr>
          <w:b/>
          <w:bCs/>
        </w:rPr>
        <w:t xml:space="preserve">&gt;1 is the new duplication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(FAIL naming the anchor);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content-hash equality across the declared lockstep set</w:t>
      </w:r>
      <w:r>
        <w:t xml:space="preserve"> </w:t>
      </w:r>
      <w:r>
        <w:t xml:space="preserve">(the four mirrors per §11.4.157)</w:t>
      </w:r>
      <w:r>
        <w:t xml:space="preserve"> </w:t>
      </w:r>
      <w:r>
        <w:t xml:space="preserve">— divergent copies FAIL naming both files;</w:t>
      </w:r>
    </w:p>
    <w:p>
      <w:pPr>
        <w:pStyle w:val="Compact"/>
        <w:numPr>
          <w:ilvl w:val="0"/>
          <w:numId w:val="1002"/>
        </w:numPr>
      </w:pPr>
      <w:r>
        <w:t xml:space="preserve">mid-body citations of an anchor literal are</w:t>
      </w:r>
      <w:r>
        <w:t xml:space="preserve"> </w:t>
      </w:r>
      <w:r>
        <w:rPr>
          <w:b/>
          <w:bCs/>
        </w:rPr>
        <w:t xml:space="preserve">carriers</w:t>
      </w:r>
      <w:r>
        <w:t xml:space="preserve"> </w:t>
      </w:r>
      <w:r>
        <w:t xml:space="preserve">and never count (§11.4.201(7)(a));</w:t>
      </w:r>
    </w:p>
    <w:p>
      <w:pPr>
        <w:pStyle w:val="Compact"/>
        <w:numPr>
          <w:ilvl w:val="0"/>
          <w:numId w:val="1002"/>
        </w:numPr>
      </w:pPr>
      <w:r>
        <w:t xml:space="preserve">zero blocks extracted from a governance file is</w:t>
      </w:r>
      <w:r>
        <w:t xml:space="preserve"> </w:t>
      </w:r>
      <w:r>
        <w:rPr>
          <w:rStyle w:val="VerbatimChar"/>
        </w:rPr>
        <w:t xml:space="preserve">BLIND-OR-EMPTY</w:t>
      </w:r>
      <w:r>
        <w:t xml:space="preserve"> </w:t>
      </w:r>
      <w:r>
        <w:t xml:space="preserve">(exit 2), never clean.</w:t>
      </w:r>
    </w:p>
    <w:bookmarkEnd w:id="11"/>
    <w:bookmarkStart w:id="12" w:name="Xf22d351c2cd2a1821b0a21792c1dbc24ce26ea5"/>
    <w:p>
      <w:pPr>
        <w:pStyle w:val="Heading2"/>
      </w:pPr>
      <w:r>
        <w:t xml:space="preserve">3. POC results — including two live findings on the real corpus</w:t>
      </w:r>
    </w:p>
    <w:p>
      <w:pPr>
        <w:pStyle w:val="FirstParagraph"/>
      </w:pPr>
      <w:r>
        <w:t xml:space="preserve">RED → GREEN 5/5 (duplicate-divergent caught; cross-mirror divergence caught; carrier citation</w:t>
      </w:r>
      <w:r>
        <w:t xml:space="preserve"> </w:t>
      </w:r>
      <w:r>
        <w:t xml:space="preserve">not false-matched; dotted sub-anchor distinct).</w:t>
      </w:r>
    </w:p>
    <w:p>
      <w:pPr>
        <w:pStyle w:val="BodyText"/>
      </w:pPr>
      <w:r>
        <w:rPr>
          <w:b/>
          <w:bCs/>
        </w:rPr>
        <w:t xml:space="preserve">Live run 1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evidence/live_mirror_scan.txt</w:t>
      </w:r>
      <w:r>
        <w:t xml:space="preserve">) produced a</w:t>
      </w:r>
      <w:r>
        <w:t xml:space="preserve"> </w:t>
      </w:r>
      <w:r>
        <w:rPr>
          <w:b/>
          <w:bCs/>
        </w:rPr>
        <w:t xml:space="preserve">false positive of this tool's</w:t>
      </w:r>
      <w:r>
        <w:rPr>
          <w:b/>
          <w:bCs/>
        </w:rPr>
        <w:t xml:space="preserve"> </w:t>
      </w:r>
      <w:r>
        <w:rPr>
          <w:b/>
          <w:bCs/>
        </w:rPr>
        <w:t xml:space="preserve">own</w:t>
      </w:r>
      <w:r>
        <w:t xml:space="preserve">:</w:t>
      </w:r>
      <w:r>
        <w:t xml:space="preserve"> </w:t>
      </w:r>
      <w:r>
        <w:rPr>
          <w:rStyle w:val="VerbatimChar"/>
        </w:rPr>
        <w:t xml:space="preserve">§11.4.10.A</w:t>
      </w:r>
      <w:r>
        <w:t xml:space="preserve"> </w:t>
      </w:r>
      <w:r>
        <w:t xml:space="preserve">prefix-matched as</w:t>
      </w:r>
      <w:r>
        <w:t xml:space="preserve"> </w:t>
      </w:r>
      <w:r>
        <w:rPr>
          <w:rStyle w:val="VerbatimChar"/>
        </w:rPr>
        <w:t xml:space="preserve">§11.4.10</w:t>
      </w:r>
      <w:r>
        <w:t xml:space="preserve"> </w:t>
      </w:r>
      <w:r>
        <w:t xml:space="preserve">→ false DUPLICATE-BLOCK in two files. Per</w:t>
      </w:r>
      <w:r>
        <w:t xml:space="preserve"> </w:t>
      </w:r>
      <w:r>
        <w:t xml:space="preserve">§11.4.201(1) that false refusal is a FAIL-bluff; per §11.4.224 a new failing test case (E,</w:t>
      </w:r>
      <w:r>
        <w:t xml:space="preserve"> </w:t>
      </w:r>
      <w:r>
        <w:t xml:space="preserve">dotted sub-anchor —</w:t>
      </w:r>
      <w:r>
        <w:t xml:space="preserve"> </w:t>
      </w:r>
      <w:r>
        <w:rPr>
          <w:rStyle w:val="VerbatimChar"/>
        </w:rPr>
        <w:t xml:space="preserve">evidence/RED_case_E.txt</w:t>
      </w:r>
      <w:r>
        <w:t xml:space="preserve">) was added FIRST, then the extractor fixed to</w:t>
      </w:r>
      <w:r>
        <w:t xml:space="preserve"> </w:t>
      </w:r>
      <w:r>
        <w:t xml:space="preserve">capture full dotted ids, then GREEN.</w:t>
      </w:r>
    </w:p>
    <w:p>
      <w:pPr>
        <w:pStyle w:val="BodyText"/>
      </w:pPr>
      <w:r>
        <w:rPr>
          <w:b/>
          <w:bCs/>
        </w:rPr>
        <w:t xml:space="preserve">Live run 2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evidence/live_mirror_scan_v2.txt</w:t>
      </w:r>
      <w:r>
        <w:t xml:space="preserve">), post-fix, read-only over the real</w:t>
      </w:r>
      <w:r>
        <w:t xml:space="preserve"> </w:t>
      </w:r>
      <w:r>
        <w:t xml:space="preserve">governance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QWEN.md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§11.4.140 and §11.4.141 each head TWO different mandates</w:t>
            </w:r>
          </w:p>
        </w:tc>
      </w:tr>
    </w:tbl>
    <w:p>
      <w:pPr>
        <w:pStyle w:val="BodyText"/>
      </w:pPr>
      <w:r>
        <w:t xml:space="preserve">The four mirrors are clean (confirming the 2026-07-22 F7 reconciliation held), and the</w:t>
      </w:r>
      <w:r>
        <w:t xml:space="preserve"> </w:t>
      </w:r>
      <w:r>
        <w:t xml:space="preserve">instrument</w:t>
      </w:r>
      <w:r>
        <w:t xml:space="preserve"> </w:t>
      </w:r>
      <w:r>
        <w:rPr>
          <w:b/>
          <w:bCs/>
        </w:rPr>
        <w:t xml:space="preserve">independently re-detects the known, operator-owned anchor-number collision</w:t>
      </w:r>
      <w:r>
        <w:t xml:space="preserve"> </w:t>
      </w:r>
      <w:r>
        <w:t xml:space="preserve">in</w:t>
      </w:r>
      <w:r>
        <w:t xml:space="preserve"> </w:t>
      </w:r>
      <w:r>
        <w:t xml:space="preserve">Constitution.md (§11.4.140 action-prefix vs HelixTranslate; §11.4.141 token-efficiency vs</w:t>
      </w:r>
      <w:r>
        <w:t xml:space="preserve"> </w:t>
      </w:r>
      <w:r>
        <w:t xml:space="preserve">translation review — the incidental finding of the remediation round, now mechanically visible</w:t>
      </w:r>
      <w:r>
        <w:t xml:space="preserve"> </w:t>
      </w:r>
      <w:r>
        <w:t xml:space="preserve">instead of narratively known). No fix is attempted here — resolution requires re-minting one</w:t>
      </w:r>
      <w:r>
        <w:t xml:space="preserve"> </w:t>
      </w:r>
      <w:r>
        <w:t xml:space="preserve">mandate of each pair at a free number, a fleet-wide citation change the operator owns</w:t>
      </w:r>
      <w:r>
        <w:t xml:space="preserve"> </w:t>
      </w:r>
      <w:r>
        <w:t xml:space="preserve">(§11.4.66/§11.4.122).</w:t>
      </w:r>
    </w:p>
    <w:bookmarkEnd w:id="12"/>
    <w:bookmarkStart w:id="13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On a wired consumer, a governance edit that duplicates an anchor block, lets two mirror copies</w:t>
      </w:r>
      <w:r>
        <w:t xml:space="preserve"> </w:t>
      </w:r>
      <w:r>
        <w:t xml:space="preserve">drift, or re-mints an existing number cannot pass the build — the M13 state (duplicated-</w:t>
      </w:r>
      <w:r>
        <w:t xml:space="preserve"> </w:t>
      </w:r>
      <w:r>
        <w:t xml:space="preserve">divergent in four mirrors, all gates green) becomes unrepresentable.</w:t>
      </w:r>
    </w:p>
    <w:bookmarkEnd w:id="13"/>
    <w:bookmarkStart w:id="14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Semantic contradiction between two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anchors</w:t>
      </w:r>
      <w:r>
        <w:t xml:space="preserve"> </w:t>
      </w:r>
      <w:r>
        <w:t xml:space="preserve">(the MU-4 entry-point conflict)</w:t>
      </w:r>
      <w:r>
        <w:t xml:space="preserve"> </w:t>
      </w:r>
      <w:r>
        <w:t xml:space="preserve">is undecidable by block hashing; SOL-10's fence/seam checks catch the decidable sub-classes</w:t>
      </w:r>
      <w:r>
        <w:t xml:space="preserve"> </w:t>
      </w:r>
      <w:r>
        <w:t xml:space="preserve">(scope-fenced verdicts, seam declarations), the rest remains review territory — stated, not</w:t>
      </w:r>
      <w:r>
        <w:t xml:space="preserve"> </w:t>
      </w:r>
      <w:r>
        <w:t xml:space="preserve">claimed.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lockstep set is declared data</w:t>
      </w:r>
      <w:r>
        <w:t xml:space="preserve">; omitting a mirror from the invocation exempts it</w:t>
      </w:r>
      <w:r>
        <w:t xml:space="preserve"> </w:t>
      </w:r>
      <w:r>
        <w:t xml:space="preserve">silently. Integration wires the file list from one manifest (§11.4.35), and SOL-05's ledger</w:t>
      </w:r>
      <w:r>
        <w:t xml:space="preserve"> </w:t>
      </w:r>
      <w:r>
        <w:t xml:space="preserve">pattern (required-set declared independently) applies to the mirror list itself.</w:t>
      </w:r>
    </w:p>
    <w:p>
      <w:pPr>
        <w:pStyle w:val="Compact"/>
        <w:numPr>
          <w:ilvl w:val="0"/>
          <w:numId w:val="1003"/>
        </w:numPr>
      </w:pPr>
      <w:r>
        <w:t xml:space="preserve">Compact-vs-full variant relationships (mirror carries a summary, Constitution the full text)</w:t>
      </w:r>
      <w:r>
        <w:t xml:space="preserve"> </w:t>
      </w:r>
      <w:r>
        <w:t xml:space="preserve">are legitimately divergent ACROSS layers — the equality check applies only within the</w:t>
      </w:r>
      <w:r>
        <w:t xml:space="preserve"> </w:t>
      </w:r>
      <w:r>
        <w:t xml:space="preserve">declared lockstep set, so canonical-vs-mirror drift is NOT caught by this tool (that is the</w:t>
      </w:r>
      <w:r>
        <w:t xml:space="preserve"> </w:t>
      </w:r>
      <w:r>
        <w:t xml:space="preserve">§11.4.186 cross-doc family's job).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oc/sol06_anchor_integr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6_anchor_integr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SOL-06_anchor_integrity</dc:title>
  <dc:creator/>
  <dc:language>en</dc:language>
  <cp:keywords/>
  <dcterms:created xsi:type="dcterms:W3CDTF">2026-07-24T00:59:42Z</dcterms:created>
  <dcterms:modified xsi:type="dcterms:W3CDTF">2026-07-24T00:59:42Z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